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7323D" w14:textId="77777777" w:rsidR="004D7A14" w:rsidRDefault="004D7A14" w:rsidP="004D7A14">
      <w:pPr>
        <w:spacing w:line="480" w:lineRule="auto"/>
        <w:jc w:val="center"/>
      </w:pPr>
    </w:p>
    <w:p w14:paraId="47A2DA30" w14:textId="77777777" w:rsidR="004D7A14" w:rsidRDefault="004D7A14" w:rsidP="004D7A14">
      <w:pPr>
        <w:spacing w:line="480" w:lineRule="auto"/>
        <w:jc w:val="center"/>
      </w:pPr>
    </w:p>
    <w:p w14:paraId="0D37C2CB" w14:textId="77777777" w:rsidR="004D7A14" w:rsidRDefault="004D7A14" w:rsidP="004D7A14">
      <w:pPr>
        <w:spacing w:line="480" w:lineRule="auto"/>
        <w:jc w:val="center"/>
      </w:pPr>
    </w:p>
    <w:p w14:paraId="295AF161" w14:textId="77777777" w:rsidR="004D7A14" w:rsidRDefault="004D7A14" w:rsidP="004D7A14">
      <w:pPr>
        <w:spacing w:line="480" w:lineRule="auto"/>
        <w:jc w:val="center"/>
      </w:pPr>
    </w:p>
    <w:p w14:paraId="6FF7C1B6" w14:textId="77777777" w:rsidR="004D7A14" w:rsidRDefault="004D7A14" w:rsidP="004D7A14">
      <w:pPr>
        <w:spacing w:line="480" w:lineRule="auto"/>
        <w:jc w:val="center"/>
      </w:pPr>
    </w:p>
    <w:p w14:paraId="4305AAD9" w14:textId="77777777" w:rsidR="004D7A14" w:rsidRDefault="004D7A14" w:rsidP="004D7A14">
      <w:pPr>
        <w:spacing w:line="480" w:lineRule="auto"/>
        <w:jc w:val="center"/>
      </w:pPr>
    </w:p>
    <w:p w14:paraId="5CA3BFF9" w14:textId="77777777" w:rsidR="004D7A14" w:rsidRDefault="004D7A14" w:rsidP="004D7A14">
      <w:pPr>
        <w:spacing w:line="480" w:lineRule="auto"/>
        <w:jc w:val="center"/>
      </w:pPr>
    </w:p>
    <w:p w14:paraId="0F8ED4E1" w14:textId="77777777" w:rsidR="004D7A14" w:rsidRDefault="004D7A14" w:rsidP="004D7A14">
      <w:pPr>
        <w:spacing w:line="480" w:lineRule="auto"/>
        <w:jc w:val="center"/>
      </w:pPr>
    </w:p>
    <w:p w14:paraId="7015817F" w14:textId="0E9530C4" w:rsidR="004D7A14" w:rsidRDefault="004D7A14" w:rsidP="004D7A14">
      <w:pPr>
        <w:spacing w:line="480" w:lineRule="auto"/>
        <w:jc w:val="center"/>
      </w:pPr>
      <w:r>
        <w:t xml:space="preserve">Student Success in Higher Education: </w:t>
      </w:r>
    </w:p>
    <w:p w14:paraId="0415E39F" w14:textId="0F3D9CAD" w:rsidR="004D7A14" w:rsidRDefault="004D7A14" w:rsidP="004D7A14">
      <w:pPr>
        <w:spacing w:line="480" w:lineRule="auto"/>
        <w:jc w:val="center"/>
      </w:pPr>
      <w:r>
        <w:t xml:space="preserve">An Analysis of Student Success for </w:t>
      </w:r>
      <w:r w:rsidR="007872DF">
        <w:t>Adult Learners in Online Distance Education</w:t>
      </w:r>
      <w:r>
        <w:t>.</w:t>
      </w:r>
    </w:p>
    <w:p w14:paraId="56C9EF40" w14:textId="55F9EFBC" w:rsidR="004D7A14" w:rsidRDefault="004D7A14" w:rsidP="004D7A14">
      <w:pPr>
        <w:spacing w:line="480" w:lineRule="auto"/>
        <w:jc w:val="center"/>
      </w:pPr>
      <w:r>
        <w:t>Talia Varone</w:t>
      </w:r>
    </w:p>
    <w:p w14:paraId="1BEC55B3" w14:textId="5B7674E6" w:rsidR="004D7A14" w:rsidRPr="003664B6" w:rsidRDefault="004D7A14" w:rsidP="004D7A14">
      <w:pPr>
        <w:spacing w:line="480" w:lineRule="auto"/>
        <w:jc w:val="center"/>
      </w:pPr>
      <w:r>
        <w:t>Florida State University</w:t>
      </w:r>
    </w:p>
    <w:p w14:paraId="30919E5C" w14:textId="62CA1EF7" w:rsidR="00320F2D" w:rsidRDefault="00320F2D"/>
    <w:p w14:paraId="7F12CF41" w14:textId="0FA5F58A" w:rsidR="004D7A14" w:rsidRDefault="004D7A14"/>
    <w:p w14:paraId="6CC96B99" w14:textId="0631BCD4" w:rsidR="004D7A14" w:rsidRDefault="004D7A14"/>
    <w:p w14:paraId="3D25C863" w14:textId="6D8560B8" w:rsidR="004D7A14" w:rsidRDefault="004D7A14"/>
    <w:p w14:paraId="30DC5C1F" w14:textId="10C6CCAF" w:rsidR="004D7A14" w:rsidRDefault="004D7A14"/>
    <w:p w14:paraId="35A70AA0" w14:textId="644F66AD" w:rsidR="004D7A14" w:rsidRDefault="004D7A14"/>
    <w:p w14:paraId="5522F0C9" w14:textId="387C251D" w:rsidR="004D7A14" w:rsidRDefault="004D7A14"/>
    <w:p w14:paraId="0DA89810" w14:textId="17DE5F14" w:rsidR="004D7A14" w:rsidRDefault="004D7A14"/>
    <w:p w14:paraId="48F23DC2" w14:textId="10381DDC" w:rsidR="004D7A14" w:rsidRDefault="004D7A14"/>
    <w:p w14:paraId="53DE475B" w14:textId="11643E03" w:rsidR="004D7A14" w:rsidRDefault="004D7A14"/>
    <w:p w14:paraId="4DABA54C" w14:textId="4CF134E4" w:rsidR="004D7A14" w:rsidRDefault="004D7A14"/>
    <w:p w14:paraId="5C86F853" w14:textId="40F17EC4" w:rsidR="004D7A14" w:rsidRDefault="004D7A14"/>
    <w:p w14:paraId="0B98ED4A" w14:textId="04D3D952" w:rsidR="004D7A14" w:rsidRDefault="004D7A14"/>
    <w:p w14:paraId="4E44E36C" w14:textId="43D58EC2" w:rsidR="004D7A14" w:rsidRDefault="004D7A14"/>
    <w:p w14:paraId="72D29139" w14:textId="131A355D" w:rsidR="004D7A14" w:rsidRDefault="004D7A14"/>
    <w:p w14:paraId="6F7DFBC9" w14:textId="4F314767" w:rsidR="004D7A14" w:rsidRDefault="004D7A14"/>
    <w:p w14:paraId="308D1E26" w14:textId="30CA6894" w:rsidR="004D7A14" w:rsidRDefault="004D7A14"/>
    <w:p w14:paraId="601AC843" w14:textId="7E818BA7" w:rsidR="004D7A14" w:rsidRDefault="004D7A14"/>
    <w:p w14:paraId="4AD7734A" w14:textId="466EADD5" w:rsidR="004D7A14" w:rsidRDefault="004D7A14"/>
    <w:p w14:paraId="1F0F96F4" w14:textId="341EC890" w:rsidR="004D7A14" w:rsidRDefault="004D7A14"/>
    <w:p w14:paraId="1C00FF73" w14:textId="6D54AF06" w:rsidR="004D7A14" w:rsidRDefault="004D7A14"/>
    <w:p w14:paraId="393A13A9" w14:textId="04110AA6" w:rsidR="004D7A14" w:rsidRDefault="004D7A14"/>
    <w:p w14:paraId="0EFEE41C" w14:textId="265B98C0" w:rsidR="00F45A2A" w:rsidRDefault="00F45A2A" w:rsidP="00D13D5C">
      <w:pPr>
        <w:spacing w:line="480" w:lineRule="auto"/>
        <w:jc w:val="center"/>
        <w:rPr>
          <w:b/>
          <w:bCs/>
        </w:rPr>
      </w:pPr>
      <w:r w:rsidRPr="00F45A2A">
        <w:rPr>
          <w:b/>
          <w:bCs/>
        </w:rPr>
        <w:lastRenderedPageBreak/>
        <w:t>Introduction</w:t>
      </w:r>
    </w:p>
    <w:p w14:paraId="0A166043" w14:textId="77777777" w:rsidR="007872DF" w:rsidRDefault="00F45A2A" w:rsidP="00D13D5C">
      <w:pPr>
        <w:spacing w:line="480" w:lineRule="auto"/>
      </w:pPr>
      <w:r>
        <w:rPr>
          <w:b/>
          <w:bCs/>
        </w:rPr>
        <w:tab/>
      </w:r>
      <w:r>
        <w:t>Often times it is common for society to forget that there is more than the typical student at higher education institutions. Typical in the sense that they range between the ages of 18-22, have on campus classes, and have several interactions with their fellow student body a day.</w:t>
      </w:r>
      <w:r w:rsidR="00BF1256">
        <w:t xml:space="preserve"> While this demographic does make up a large part of student bodies across the nation, they do not represent every type of student. There are specialized student populations who need additional resources and guidance depending on their classification. </w:t>
      </w:r>
    </w:p>
    <w:p w14:paraId="7623921F" w14:textId="3AB920CD" w:rsidR="007872DF" w:rsidRDefault="007872DF" w:rsidP="00D13D5C">
      <w:pPr>
        <w:spacing w:line="480" w:lineRule="auto"/>
      </w:pPr>
      <w:r>
        <w:tab/>
      </w:r>
      <w:r w:rsidR="00B129CF">
        <w:t xml:space="preserve">For the purpose of this research, the focus population will be on the study body at </w:t>
      </w:r>
      <w:r w:rsidR="00BF1256">
        <w:t>Johns Hopkins University, Advanced Academic Programs</w:t>
      </w:r>
      <w:r w:rsidR="00B80404">
        <w:t>, or AAP,</w:t>
      </w:r>
      <w:r w:rsidR="00BF1256">
        <w:t xml:space="preserve"> in Washington D.C.</w:t>
      </w:r>
      <w:r w:rsidR="00B129CF">
        <w:t xml:space="preserve"> This department offers “part-time graduate degree and certification programs for adults seeking professional and personal </w:t>
      </w:r>
      <w:r w:rsidR="00B129CF" w:rsidRPr="003A6D97">
        <w:t>enrichment” (</w:t>
      </w:r>
      <w:r w:rsidR="00F1375E" w:rsidRPr="003A6D97">
        <w:t>Johns Hopkins University,</w:t>
      </w:r>
      <w:r w:rsidR="00B129CF" w:rsidRPr="003A6D97">
        <w:t xml:space="preserve"> 2019).</w:t>
      </w:r>
      <w:r w:rsidR="00F1375E" w:rsidRPr="003A6D97">
        <w:t xml:space="preserve"> </w:t>
      </w:r>
      <w:r w:rsidR="00B129CF" w:rsidRPr="003A6D97">
        <w:t>T</w:t>
      </w:r>
      <w:r w:rsidR="00BF1256" w:rsidRPr="003A6D97">
        <w:t>he</w:t>
      </w:r>
      <w:r w:rsidR="00BF1256">
        <w:t xml:space="preserve"> majority of the population </w:t>
      </w:r>
      <w:r w:rsidR="00B129CF">
        <w:t>are</w:t>
      </w:r>
      <w:r w:rsidR="00BF1256">
        <w:t xml:space="preserve"> adult learners enrolled in an online distance learning education. </w:t>
      </w:r>
      <w:r w:rsidR="00B129CF">
        <w:t>The average age of this population is 31</w:t>
      </w:r>
      <w:r w:rsidR="00BD6A36">
        <w:t xml:space="preserve">and majority of these adults are taking courses that are fully, or partially, online. While there are classes available on campus, the online student population is the majority. </w:t>
      </w:r>
      <w:r w:rsidR="00B129CF">
        <w:t>These students have unique definitions of what college success looks like</w:t>
      </w:r>
      <w:r w:rsidR="00BD6A36">
        <w:t xml:space="preserve"> a</w:t>
      </w:r>
      <w:r w:rsidR="00B129CF">
        <w:t xml:space="preserve">long with factors that both enable and hinder their overall success at a higher education institution. </w:t>
      </w:r>
    </w:p>
    <w:p w14:paraId="22918F02" w14:textId="49268F66" w:rsidR="00D13D5C" w:rsidRDefault="007872DF" w:rsidP="00D13D5C">
      <w:pPr>
        <w:spacing w:line="480" w:lineRule="auto"/>
      </w:pPr>
      <w:r>
        <w:tab/>
      </w:r>
      <w:r w:rsidR="00BD6A36">
        <w:t>Within this research are implications for stakeholders to consider for increasing student success within this specialized population.</w:t>
      </w:r>
      <w:r w:rsidR="00F87971">
        <w:t xml:space="preserve"> Also, by</w:t>
      </w:r>
      <w:r w:rsidR="00BD6A36">
        <w:t xml:space="preserve"> providing the resources necessary for this population to succeed, </w:t>
      </w:r>
      <w:r w:rsidR="00F87971">
        <w:t xml:space="preserve">stakeholders are positively impacting </w:t>
      </w:r>
      <w:r w:rsidR="00BD6A36">
        <w:t>student</w:t>
      </w:r>
      <w:r w:rsidR="00F87971">
        <w:t xml:space="preserve"> retention and graduation rates for the institution. </w:t>
      </w:r>
    </w:p>
    <w:p w14:paraId="4003A4C0" w14:textId="428C0EDD" w:rsidR="00B80404" w:rsidRDefault="00835FC2" w:rsidP="00D13D5C">
      <w:pPr>
        <w:spacing w:line="480" w:lineRule="auto"/>
        <w:rPr>
          <w:b/>
          <w:bCs/>
        </w:rPr>
      </w:pPr>
      <w:r w:rsidRPr="00F1375E">
        <w:rPr>
          <w:b/>
          <w:bCs/>
        </w:rPr>
        <w:t>Adult Learners</w:t>
      </w:r>
    </w:p>
    <w:p w14:paraId="4C2DCE6A" w14:textId="77777777" w:rsidR="007872DF" w:rsidRDefault="007872DF" w:rsidP="00D13D5C">
      <w:pPr>
        <w:spacing w:line="480" w:lineRule="auto"/>
      </w:pPr>
      <w:r>
        <w:tab/>
      </w:r>
      <w:r w:rsidR="00B80404" w:rsidRPr="00B80404">
        <w:t xml:space="preserve">Adult learners </w:t>
      </w:r>
      <w:r w:rsidR="00B80404">
        <w:t>are not what you would consider a typical student population.</w:t>
      </w:r>
      <w:r w:rsidR="006C5D44" w:rsidRPr="006C5D44">
        <w:t xml:space="preserve"> </w:t>
      </w:r>
      <w:r w:rsidR="006C5D44">
        <w:t xml:space="preserve">An adult learner can be a young adult or an older adult, depending on the age range. However, typically </w:t>
      </w:r>
      <w:r w:rsidR="006C5D44">
        <w:lastRenderedPageBreak/>
        <w:t xml:space="preserve">this student population works in a full-time role while also balancing family roles and are generally 22 or </w:t>
      </w:r>
      <w:r w:rsidR="006C5D44" w:rsidRPr="000B5056">
        <w:t>above (</w:t>
      </w:r>
      <w:proofErr w:type="spellStart"/>
      <w:r w:rsidR="006C5D44" w:rsidRPr="000B5056">
        <w:t>Kahu</w:t>
      </w:r>
      <w:proofErr w:type="spellEnd"/>
      <w:r w:rsidR="006C5D44" w:rsidRPr="000B5056">
        <w:t xml:space="preserve">, Stephens, Leach &amp; </w:t>
      </w:r>
      <w:proofErr w:type="spellStart"/>
      <w:r w:rsidR="006C5D44" w:rsidRPr="000B5056">
        <w:t>Zepke</w:t>
      </w:r>
      <w:proofErr w:type="spellEnd"/>
      <w:r w:rsidR="006C5D44" w:rsidRPr="000B5056">
        <w:t>, 2013). As</w:t>
      </w:r>
      <w:r w:rsidR="006C5D44">
        <w:t xml:space="preserve"> stated above, for AAP, the average age of this population falls in a common age range for adult learners. </w:t>
      </w:r>
      <w:r w:rsidR="00B80404">
        <w:t xml:space="preserve"> They have distinct differences that require additional resources for student success.</w:t>
      </w:r>
      <w:r w:rsidR="001C0E66">
        <w:t xml:space="preserve"> They are different from the other students because of the responsibilities they hold outside of the </w:t>
      </w:r>
      <w:r w:rsidR="001C0E66" w:rsidRPr="000B5056">
        <w:t>classroom</w:t>
      </w:r>
      <w:r w:rsidR="00F1375E" w:rsidRPr="000B5056">
        <w:t xml:space="preserve"> (Cercone, 2008)</w:t>
      </w:r>
      <w:r w:rsidR="001C0E66" w:rsidRPr="000B5056">
        <w:t>.</w:t>
      </w:r>
      <w:r w:rsidR="001C0E66">
        <w:t xml:space="preserve"> That causes this population to have a clear path of what they want to do as opposed to a true freshman coming in from high school.</w:t>
      </w:r>
      <w:r w:rsidR="008210BF">
        <w:t xml:space="preserve"> Typically, these students have a diverse background and years of life experience that help navigate the desired outcome of their time in college</w:t>
      </w:r>
      <w:r w:rsidR="00F1375E">
        <w:t xml:space="preserve"> </w:t>
      </w:r>
      <w:r w:rsidR="00F1375E" w:rsidRPr="000B5056">
        <w:t>(Lindeman, 2015)</w:t>
      </w:r>
      <w:r w:rsidR="008210BF" w:rsidRPr="000B5056">
        <w:t>.</w:t>
      </w:r>
      <w:r w:rsidR="008210BF">
        <w:t xml:space="preserve"> </w:t>
      </w:r>
      <w:r>
        <w:tab/>
      </w:r>
    </w:p>
    <w:p w14:paraId="1BD80C00" w14:textId="31A44472" w:rsidR="007872DF" w:rsidRDefault="007872DF" w:rsidP="00D13D5C">
      <w:pPr>
        <w:spacing w:line="480" w:lineRule="auto"/>
      </w:pPr>
      <w:r>
        <w:tab/>
      </w:r>
      <w:r w:rsidR="008210BF">
        <w:t xml:space="preserve">Due to all of these factors, an adult learner needs certain elements to succeed at a higher education institution. First, they need to have the resources in order to navigate their own educational processes. Second, they need a </w:t>
      </w:r>
      <w:r w:rsidR="005D01EE">
        <w:t xml:space="preserve">comfortable space to share their ideas amongst peers. Third, they need to be able to balance their private lives alongside their education process, not one ahead of the other. </w:t>
      </w:r>
      <w:r w:rsidR="00896ACF">
        <w:t>These three elements</w:t>
      </w:r>
      <w:r w:rsidR="00DC6857">
        <w:t xml:space="preserve"> can be classified as </w:t>
      </w:r>
      <w:r w:rsidR="00703545">
        <w:t xml:space="preserve">learning outcomes for adult learners. When these three items are achieved through strategic programming and funding, adult </w:t>
      </w:r>
      <w:r w:rsidR="008A57C2">
        <w:t>students will be able to succeed within a higher education institution.</w:t>
      </w:r>
    </w:p>
    <w:p w14:paraId="6B483D76" w14:textId="7197B16A" w:rsidR="00D13D5C" w:rsidRDefault="002009A7" w:rsidP="003C2BA4">
      <w:pPr>
        <w:spacing w:line="480" w:lineRule="auto"/>
      </w:pPr>
      <w:r>
        <w:tab/>
      </w:r>
      <w:r w:rsidR="006C5D44">
        <w:t xml:space="preserve">These differences </w:t>
      </w:r>
      <w:r w:rsidR="005F29C2">
        <w:t xml:space="preserve">between traditional students and adult learners </w:t>
      </w:r>
      <w:r w:rsidR="006C5D44">
        <w:t xml:space="preserve">come with some advantages but there are challenges that this population faces when trying to complete their education. These </w:t>
      </w:r>
      <w:r w:rsidR="0004427D">
        <w:t xml:space="preserve">outcomes </w:t>
      </w:r>
      <w:r w:rsidR="00F1375E">
        <w:t>show the need for alignment between educational environment and adult learning characteristics.</w:t>
      </w:r>
      <w:r w:rsidR="00757F5A">
        <w:t xml:space="preserve"> They </w:t>
      </w:r>
      <w:r w:rsidR="006C5D44">
        <w:t xml:space="preserve">are reflected through strategic resources and policies created and executed by professionals, administration, and stake </w:t>
      </w:r>
      <w:r w:rsidR="00896ACF">
        <w:t>holders. It</w:t>
      </w:r>
      <w:r w:rsidR="005F29C2">
        <w:t xml:space="preserve"> is through the execution of these </w:t>
      </w:r>
      <w:r w:rsidR="00CA6EA8">
        <w:t xml:space="preserve">resources and policies </w:t>
      </w:r>
      <w:r w:rsidR="005F29C2">
        <w:t xml:space="preserve">that an adult learner can truly succeed within their respective institutions. </w:t>
      </w:r>
    </w:p>
    <w:p w14:paraId="66FED3D3" w14:textId="1222FFF7" w:rsidR="00F1375E" w:rsidRPr="00D13D5C" w:rsidRDefault="00F1375E" w:rsidP="003C2BA4">
      <w:pPr>
        <w:spacing w:line="480" w:lineRule="auto"/>
      </w:pPr>
      <w:r w:rsidRPr="00F1375E">
        <w:rPr>
          <w:b/>
          <w:bCs/>
        </w:rPr>
        <w:lastRenderedPageBreak/>
        <w:t xml:space="preserve">Online Distance </w:t>
      </w:r>
      <w:r w:rsidR="00757F5A">
        <w:rPr>
          <w:b/>
          <w:bCs/>
        </w:rPr>
        <w:t>Learning</w:t>
      </w:r>
    </w:p>
    <w:p w14:paraId="1DAB0C28" w14:textId="4B14E843" w:rsidR="007872DF" w:rsidRDefault="003C2BA4" w:rsidP="003C2BA4">
      <w:pPr>
        <w:spacing w:line="480" w:lineRule="auto"/>
      </w:pPr>
      <w:r>
        <w:tab/>
        <w:t xml:space="preserve">Adult learners are frequently seen in an online distance learning environment because it aligns with their learning characteristic needs. It is important to understand this correlation when designing online programs for this </w:t>
      </w:r>
      <w:r w:rsidRPr="008769B5">
        <w:t>population (</w:t>
      </w:r>
      <w:r w:rsidR="00141025" w:rsidRPr="00BB0536">
        <w:t xml:space="preserve">Kara, </w:t>
      </w:r>
      <w:proofErr w:type="spellStart"/>
      <w:r w:rsidR="00141025" w:rsidRPr="00BB0536">
        <w:t>Erdoğdu</w:t>
      </w:r>
      <w:proofErr w:type="spellEnd"/>
      <w:r w:rsidR="00141025" w:rsidRPr="00BB0536">
        <w:t xml:space="preserve">, </w:t>
      </w:r>
      <w:proofErr w:type="spellStart"/>
      <w:r w:rsidR="00141025" w:rsidRPr="00BB0536">
        <w:t>Kokoç</w:t>
      </w:r>
      <w:proofErr w:type="spellEnd"/>
      <w:r w:rsidR="00141025" w:rsidRPr="00BB0536">
        <w:t xml:space="preserve">, &amp; </w:t>
      </w:r>
      <w:proofErr w:type="spellStart"/>
      <w:r w:rsidR="00141025" w:rsidRPr="00BB0536">
        <w:t>Cagiltay</w:t>
      </w:r>
      <w:proofErr w:type="spellEnd"/>
      <w:r w:rsidR="00141025" w:rsidRPr="008769B5">
        <w:t>, 2019</w:t>
      </w:r>
      <w:r w:rsidRPr="008769B5">
        <w:t>).</w:t>
      </w:r>
      <w:r w:rsidR="002009A7">
        <w:t xml:space="preserve"> From the three elements previously mentioned for success, there are elements of online learning that can be incorporated into achievable solutions for adult learners. Through online learning, students are able to dictate their </w:t>
      </w:r>
      <w:r w:rsidR="00537736">
        <w:t>educational process through having the ability to learn</w:t>
      </w:r>
      <w:r w:rsidR="00284A80">
        <w:t xml:space="preserve"> at the time and location of their choosing. </w:t>
      </w:r>
      <w:r w:rsidR="003A6D97">
        <w:t xml:space="preserve">With this, students are able to balance their life with their education. </w:t>
      </w:r>
      <w:r w:rsidR="00284A80">
        <w:t xml:space="preserve">Also, students have opportunities to </w:t>
      </w:r>
      <w:r w:rsidR="008C7960">
        <w:t xml:space="preserve">interact with their fellow student community through virtual discussions and chats </w:t>
      </w:r>
      <w:proofErr w:type="gramStart"/>
      <w:r w:rsidR="008C7960">
        <w:t>( Kim</w:t>
      </w:r>
      <w:proofErr w:type="gramEnd"/>
      <w:r w:rsidR="008C7960">
        <w:t xml:space="preserve">, Liu, &amp; Bonk, 2005). </w:t>
      </w:r>
      <w:r w:rsidR="00E63EB3">
        <w:t>All of these features make online learning the perfect format for adult learner student success.</w:t>
      </w:r>
    </w:p>
    <w:p w14:paraId="7C1F31F2" w14:textId="0B34A928" w:rsidR="00C5298D" w:rsidRDefault="00517C26" w:rsidP="003C2BA4">
      <w:pPr>
        <w:spacing w:line="480" w:lineRule="auto"/>
        <w:rPr>
          <w:b/>
          <w:bCs/>
        </w:rPr>
      </w:pPr>
      <w:r>
        <w:t xml:space="preserve">                                                      </w:t>
      </w:r>
      <w:r w:rsidRPr="00517C26">
        <w:rPr>
          <w:b/>
          <w:bCs/>
        </w:rPr>
        <w:t xml:space="preserve">    </w:t>
      </w:r>
      <w:r w:rsidR="00510D87">
        <w:rPr>
          <w:b/>
          <w:bCs/>
        </w:rPr>
        <w:t>Justification</w:t>
      </w:r>
      <w:r w:rsidR="00204626">
        <w:rPr>
          <w:b/>
          <w:bCs/>
        </w:rPr>
        <w:t>s</w:t>
      </w:r>
    </w:p>
    <w:p w14:paraId="4BBDCB7A" w14:textId="2BC5B632" w:rsidR="001435FA" w:rsidRDefault="001435FA" w:rsidP="003C2BA4">
      <w:pPr>
        <w:spacing w:line="480" w:lineRule="auto"/>
      </w:pPr>
      <w:r>
        <w:tab/>
        <w:t>The research used to support the explanation of what it means to have student success</w:t>
      </w:r>
      <w:r w:rsidR="00A56607">
        <w:t xml:space="preserve"> for adult learners mainly comes from a literature review. This literature review encompasses knowledge on student success for adult student populations </w:t>
      </w:r>
      <w:r w:rsidR="006E5E44">
        <w:t xml:space="preserve">while citing other </w:t>
      </w:r>
      <w:r w:rsidR="00E509E0">
        <w:t>important support research. The literature wa</w:t>
      </w:r>
      <w:r w:rsidR="003A3C8A">
        <w:t xml:space="preserve">s determined by certain criteria </w:t>
      </w:r>
      <w:r w:rsidR="00CB1459">
        <w:t>like being research in an online distanced learning context and</w:t>
      </w:r>
      <w:r w:rsidR="00AD3897">
        <w:t xml:space="preserve"> being peer reviewed research</w:t>
      </w:r>
      <w:r w:rsidR="00896ACF">
        <w:t xml:space="preserve"> (</w:t>
      </w:r>
      <w:r w:rsidR="00896ACF" w:rsidRPr="00BB0536">
        <w:t xml:space="preserve">Kara, </w:t>
      </w:r>
      <w:proofErr w:type="spellStart"/>
      <w:r w:rsidR="00896ACF" w:rsidRPr="00BB0536">
        <w:t>Erdoğdu</w:t>
      </w:r>
      <w:proofErr w:type="spellEnd"/>
      <w:r w:rsidR="00896ACF" w:rsidRPr="00BB0536">
        <w:t xml:space="preserve">, </w:t>
      </w:r>
      <w:proofErr w:type="spellStart"/>
      <w:r w:rsidR="00896ACF" w:rsidRPr="00BB0536">
        <w:t>Kokoç</w:t>
      </w:r>
      <w:proofErr w:type="spellEnd"/>
      <w:r w:rsidR="00896ACF" w:rsidRPr="00BB0536">
        <w:t xml:space="preserve">, &amp; </w:t>
      </w:r>
      <w:proofErr w:type="spellStart"/>
      <w:r w:rsidR="00896ACF" w:rsidRPr="00BB0536">
        <w:t>Cagiltay</w:t>
      </w:r>
      <w:proofErr w:type="spellEnd"/>
      <w:r w:rsidR="00896ACF" w:rsidRPr="008769B5">
        <w:t>, 2019</w:t>
      </w:r>
      <w:proofErr w:type="gramStart"/>
      <w:r w:rsidR="00896ACF" w:rsidRPr="008769B5">
        <w:t>).</w:t>
      </w:r>
      <w:r w:rsidR="00871F57">
        <w:t>The</w:t>
      </w:r>
      <w:proofErr w:type="gramEnd"/>
      <w:r w:rsidR="00871F57">
        <w:t xml:space="preserve"> research conducted was also separated into </w:t>
      </w:r>
      <w:r w:rsidR="004B7325">
        <w:t xml:space="preserve">type </w:t>
      </w:r>
      <w:r w:rsidR="00871F57">
        <w:t>categories including qualitative, quantitative, and mixed metho</w:t>
      </w:r>
      <w:r w:rsidR="004B7325">
        <w:t xml:space="preserve">d. The research </w:t>
      </w:r>
      <w:r w:rsidR="00E92D69">
        <w:t xml:space="preserve">was crossed referenced among 36 separate sources to ensure </w:t>
      </w:r>
      <w:r w:rsidR="00A21AAD">
        <w:t>internal validity. Also, the findings were reviewed by experts in the field who made important revisions. For the external validity,</w:t>
      </w:r>
      <w:r w:rsidR="00B20F13">
        <w:t xml:space="preserve"> the m</w:t>
      </w:r>
      <w:r w:rsidR="00234918">
        <w:t>ethods were analyzed using the categorical explanation of drop</w:t>
      </w:r>
      <w:r w:rsidR="00DD1142">
        <w:t>out reasons from adult learners (</w:t>
      </w:r>
      <w:proofErr w:type="spellStart"/>
      <w:r w:rsidR="00DD1142" w:rsidRPr="00896ACF">
        <w:t>Wi</w:t>
      </w:r>
      <w:r w:rsidR="00896ACF" w:rsidRPr="00896ACF">
        <w:t>llging</w:t>
      </w:r>
      <w:proofErr w:type="spellEnd"/>
      <w:r w:rsidR="00DD1142" w:rsidRPr="00896ACF">
        <w:t xml:space="preserve"> and Johnson, 2009).</w:t>
      </w:r>
      <w:r w:rsidR="00351B3C" w:rsidRPr="00896ACF">
        <w:t xml:space="preserve"> </w:t>
      </w:r>
      <w:r w:rsidR="00931A75">
        <w:t xml:space="preserve">For reliability, the methods and procedures for the data collection in this review were reported so they can be </w:t>
      </w:r>
      <w:r w:rsidR="00931A75">
        <w:lastRenderedPageBreak/>
        <w:t xml:space="preserve">easily replicated. </w:t>
      </w:r>
      <w:r w:rsidR="00FC2A84">
        <w:t xml:space="preserve">From this information is where the three main </w:t>
      </w:r>
      <w:r w:rsidR="003158A9">
        <w:t>outcomes</w:t>
      </w:r>
      <w:r w:rsidR="00FC2A84">
        <w:t xml:space="preserve"> of student success for adult </w:t>
      </w:r>
      <w:r w:rsidR="00896ACF">
        <w:t>learners’</w:t>
      </w:r>
      <w:r w:rsidR="003158A9">
        <w:t xml:space="preserve"> stem from. With this combined research, it is possible to create solutions that fall within these outcome</w:t>
      </w:r>
      <w:r w:rsidR="00FF0352">
        <w:t xml:space="preserve"> categories such as virtual trainings, community, and tutoring. </w:t>
      </w:r>
    </w:p>
    <w:p w14:paraId="3FA496DD" w14:textId="256ADE8F" w:rsidR="00DB0683" w:rsidRDefault="00DB0683" w:rsidP="00DB0683">
      <w:pPr>
        <w:spacing w:line="480" w:lineRule="auto"/>
        <w:ind w:left="2880" w:firstLine="720"/>
        <w:rPr>
          <w:b/>
          <w:bCs/>
        </w:rPr>
      </w:pPr>
      <w:r w:rsidRPr="00DB0683">
        <w:rPr>
          <w:b/>
          <w:bCs/>
        </w:rPr>
        <w:t xml:space="preserve">Success Factors </w:t>
      </w:r>
    </w:p>
    <w:p w14:paraId="0FE8CB2D" w14:textId="155323F4" w:rsidR="00BC66EF" w:rsidRDefault="00BC66EF" w:rsidP="00BC66EF">
      <w:pPr>
        <w:spacing w:line="480" w:lineRule="auto"/>
      </w:pPr>
      <w:r>
        <w:rPr>
          <w:b/>
          <w:bCs/>
        </w:rPr>
        <w:tab/>
      </w:r>
      <w:r w:rsidR="00F919DE">
        <w:t>There are different type</w:t>
      </w:r>
      <w:r w:rsidR="00736AD3">
        <w:t>s</w:t>
      </w:r>
      <w:r w:rsidR="00F919DE">
        <w:t xml:space="preserve"> of</w:t>
      </w:r>
      <w:r w:rsidR="00D936E8">
        <w:t xml:space="preserve"> challenges that adult learners face. </w:t>
      </w:r>
      <w:r w:rsidR="00896ACF">
        <w:t>These include internal</w:t>
      </w:r>
      <w:r w:rsidR="00736AD3">
        <w:t xml:space="preserve"> and external driven factors that</w:t>
      </w:r>
      <w:r w:rsidR="00CF78D8">
        <w:t xml:space="preserve"> hinder an adult learners’ academic path</w:t>
      </w:r>
      <w:r w:rsidR="00AE4B23">
        <w:t xml:space="preserve"> </w:t>
      </w:r>
      <w:r w:rsidR="00896ACF" w:rsidRPr="008769B5">
        <w:t>(</w:t>
      </w:r>
      <w:r w:rsidR="00896ACF" w:rsidRPr="00BB0536">
        <w:t xml:space="preserve">Kara, </w:t>
      </w:r>
      <w:proofErr w:type="spellStart"/>
      <w:r w:rsidR="00896ACF" w:rsidRPr="00BB0536">
        <w:t>Erdoğdu</w:t>
      </w:r>
      <w:proofErr w:type="spellEnd"/>
      <w:r w:rsidR="00896ACF" w:rsidRPr="00BB0536">
        <w:t xml:space="preserve">, </w:t>
      </w:r>
      <w:proofErr w:type="spellStart"/>
      <w:r w:rsidR="00896ACF" w:rsidRPr="00BB0536">
        <w:t>Kokoç</w:t>
      </w:r>
      <w:proofErr w:type="spellEnd"/>
      <w:r w:rsidR="00896ACF" w:rsidRPr="00BB0536">
        <w:t xml:space="preserve">, &amp; </w:t>
      </w:r>
      <w:proofErr w:type="spellStart"/>
      <w:r w:rsidR="00896ACF" w:rsidRPr="00BB0536">
        <w:t>Cagiltay</w:t>
      </w:r>
      <w:proofErr w:type="spellEnd"/>
      <w:r w:rsidR="00896ACF" w:rsidRPr="008769B5">
        <w:t>, 2019).</w:t>
      </w:r>
    </w:p>
    <w:p w14:paraId="5BEEE1AC" w14:textId="521092F3" w:rsidR="001A7971" w:rsidRDefault="001A7971" w:rsidP="00BC66EF">
      <w:pPr>
        <w:spacing w:line="480" w:lineRule="auto"/>
        <w:rPr>
          <w:b/>
          <w:bCs/>
        </w:rPr>
      </w:pPr>
      <w:r w:rsidRPr="001A7971">
        <w:rPr>
          <w:b/>
          <w:bCs/>
        </w:rPr>
        <w:t>Internal Factors</w:t>
      </w:r>
    </w:p>
    <w:p w14:paraId="07240B79" w14:textId="77777777" w:rsidR="00AE4B23" w:rsidRDefault="001A7971" w:rsidP="00BC66EF">
      <w:pPr>
        <w:spacing w:line="480" w:lineRule="auto"/>
      </w:pPr>
      <w:r>
        <w:tab/>
        <w:t>According to research, adult learners have multiple challenges throughout the internal piece of their educational experience. F</w:t>
      </w:r>
      <w:r w:rsidR="00843F61">
        <w:t>irst, t</w:t>
      </w:r>
      <w:r>
        <w:t xml:space="preserve">here are challenges with balancing life, work, and education. With this also comes the inability to manage time effectively throughout daily life. If adult learners lack time management skills, it creates a challenge for them to successfully complete their educational goals (Selwyn, 2011). </w:t>
      </w:r>
    </w:p>
    <w:p w14:paraId="3C92FE3E" w14:textId="77777777" w:rsidR="00AE4B23" w:rsidRDefault="00AE4B23" w:rsidP="00BC66EF">
      <w:pPr>
        <w:spacing w:line="480" w:lineRule="auto"/>
      </w:pPr>
      <w:r>
        <w:tab/>
      </w:r>
      <w:r w:rsidR="001A7971">
        <w:t>Second, there are learning challenges that this population faces such as lack of interest, less commitment due to pre-existing responsibilities, and lack of prerequisite knowledge. Adult learners who start an educational program after a long period of time have a hard time focusing on the material (Yasmin, 2013). Also, research shows that adult learners have challenges concentrating on course work and study material due to their busy home or work life (</w:t>
      </w:r>
      <w:proofErr w:type="spellStart"/>
      <w:r w:rsidR="001A7971">
        <w:t>Pierrakeas</w:t>
      </w:r>
      <w:proofErr w:type="spellEnd"/>
      <w:r w:rsidR="001A7971">
        <w:t xml:space="preserve"> et al., 2004). </w:t>
      </w:r>
    </w:p>
    <w:p w14:paraId="2AD6BD0B" w14:textId="6E306C75" w:rsidR="00B3681A" w:rsidRDefault="00AE4B23" w:rsidP="00BC66EF">
      <w:pPr>
        <w:spacing w:line="480" w:lineRule="auto"/>
      </w:pPr>
      <w:r>
        <w:tab/>
      </w:r>
      <w:r w:rsidR="00F06F50">
        <w:t xml:space="preserve">The last internal factor that adult learners face revolves around lack of technological ability. </w:t>
      </w:r>
      <w:r w:rsidR="00240404">
        <w:t xml:space="preserve">This impacts their educational experience because they are unable to effectively participate in the virtual communities and other online learning pieces (Nor, 2011). </w:t>
      </w:r>
      <w:r w:rsidR="00157586">
        <w:t xml:space="preserve">These factors put adult learners at a </w:t>
      </w:r>
      <w:r w:rsidR="00B3681A">
        <w:t>learning disadvantage in comparison to other students at the institution.</w:t>
      </w:r>
    </w:p>
    <w:p w14:paraId="4D2C9559" w14:textId="7A766391" w:rsidR="00157586" w:rsidRDefault="00157586" w:rsidP="00BC66EF">
      <w:pPr>
        <w:spacing w:line="480" w:lineRule="auto"/>
      </w:pPr>
      <w:r>
        <w:lastRenderedPageBreak/>
        <w:t xml:space="preserve"> </w:t>
      </w:r>
    </w:p>
    <w:p w14:paraId="19ADEA59" w14:textId="683668BA" w:rsidR="005277EA" w:rsidRDefault="005277EA" w:rsidP="00BC66EF">
      <w:pPr>
        <w:spacing w:line="480" w:lineRule="auto"/>
        <w:rPr>
          <w:b/>
          <w:bCs/>
        </w:rPr>
      </w:pPr>
      <w:r w:rsidRPr="005277EA">
        <w:rPr>
          <w:b/>
          <w:bCs/>
        </w:rPr>
        <w:t>External Factors</w:t>
      </w:r>
    </w:p>
    <w:p w14:paraId="0A5C8B9A" w14:textId="0110D71C" w:rsidR="005277EA" w:rsidRDefault="005277EA" w:rsidP="00BC66EF">
      <w:pPr>
        <w:spacing w:line="480" w:lineRule="auto"/>
      </w:pPr>
      <w:r>
        <w:tab/>
      </w:r>
      <w:r w:rsidR="00482B29">
        <w:t>Typically, adult learners work a full</w:t>
      </w:r>
      <w:r w:rsidR="00812AFB">
        <w:t>-</w:t>
      </w:r>
      <w:r w:rsidR="00482B29">
        <w:t>time work schedule which add another layer of responsibility. Research revealed that</w:t>
      </w:r>
      <w:r w:rsidR="00812AFB">
        <w:t xml:space="preserve"> regardless of the balance created by the student between work and education, they were unable to dedicate the time to meet all course requirements </w:t>
      </w:r>
      <w:r w:rsidR="000C1E27">
        <w:t xml:space="preserve">because they were overloaded with work </w:t>
      </w:r>
      <w:r w:rsidR="00812AFB">
        <w:t>(</w:t>
      </w:r>
      <w:proofErr w:type="spellStart"/>
      <w:r w:rsidR="00812AFB">
        <w:t>Dumais</w:t>
      </w:r>
      <w:proofErr w:type="spellEnd"/>
      <w:r w:rsidR="00812AFB">
        <w:t xml:space="preserve"> et al., 2013). </w:t>
      </w:r>
      <w:r w:rsidR="000C1E27">
        <w:t>The main source of job-related challenges stems from lack of support for their education from their employer (</w:t>
      </w:r>
      <w:proofErr w:type="spellStart"/>
      <w:r w:rsidR="000C1E27">
        <w:t>Willging</w:t>
      </w:r>
      <w:proofErr w:type="spellEnd"/>
      <w:r w:rsidR="000C1E27">
        <w:t xml:space="preserve"> &amp; Johnson, 2009). Other job-related challenges include schedule conflicting, financial issues, and minimal time to study the course work. </w:t>
      </w:r>
    </w:p>
    <w:p w14:paraId="7E18FDF2" w14:textId="0DB0C244" w:rsidR="00843F61" w:rsidRDefault="00843F61" w:rsidP="00BC66EF">
      <w:pPr>
        <w:spacing w:line="480" w:lineRule="auto"/>
      </w:pPr>
      <w:r>
        <w:tab/>
      </w:r>
      <w:r w:rsidR="00BF239A">
        <w:t>Another external factor that effects adult learners is challenges within their home life. A lot of times adult learners have families or other domestic responsibility that hinders their success. One of the main challenges is lack or family support which was reported as a need for adult learners to be successful (</w:t>
      </w:r>
      <w:proofErr w:type="spellStart"/>
      <w:r w:rsidR="00BF239A">
        <w:t>Willging</w:t>
      </w:r>
      <w:proofErr w:type="spellEnd"/>
      <w:r w:rsidR="00A57278">
        <w:t xml:space="preserve"> </w:t>
      </w:r>
      <w:r w:rsidR="00BF239A">
        <w:t xml:space="preserve">&amp; Johnson, 2009). Without this needed support, adult learners are more likely to drop out of their online programs. Some other challenges include technical problems </w:t>
      </w:r>
      <w:r w:rsidR="00644C1B">
        <w:t xml:space="preserve">with internet speed and connection along with a limited environment to study.  </w:t>
      </w:r>
    </w:p>
    <w:p w14:paraId="51195782" w14:textId="647F1154" w:rsidR="00DA40B4" w:rsidRPr="00FF4DD4" w:rsidRDefault="00DA40B4" w:rsidP="00DA40B4">
      <w:pPr>
        <w:spacing w:line="480" w:lineRule="auto"/>
        <w:jc w:val="center"/>
        <w:rPr>
          <w:b/>
          <w:bCs/>
        </w:rPr>
      </w:pPr>
      <w:r w:rsidRPr="00FF4DD4">
        <w:rPr>
          <w:b/>
          <w:bCs/>
        </w:rPr>
        <w:t>Recommendations</w:t>
      </w:r>
    </w:p>
    <w:p w14:paraId="17DE232E" w14:textId="77777777" w:rsidR="00743B81" w:rsidRDefault="00DA40B4" w:rsidP="00DA40B4">
      <w:pPr>
        <w:spacing w:line="480" w:lineRule="auto"/>
      </w:pPr>
      <w:r>
        <w:tab/>
      </w:r>
      <w:r w:rsidR="00251F0A">
        <w:t xml:space="preserve">At Johns Hopkins University, within AAP, majority of the student population is online which means there is a gap </w:t>
      </w:r>
      <w:r w:rsidR="009B4832">
        <w:t xml:space="preserve">between academics and the development side of the collegiate experience. Due to this, there is a </w:t>
      </w:r>
      <w:r w:rsidR="00B3502A">
        <w:t xml:space="preserve">need for additional resources within the three main success factors listed previously. </w:t>
      </w:r>
      <w:r w:rsidR="00743B81">
        <w:t xml:space="preserve">Within my position, I have the responsibility of designing and executing these resources for our adult learners. </w:t>
      </w:r>
    </w:p>
    <w:p w14:paraId="5125D2E4" w14:textId="77777777" w:rsidR="00743B81" w:rsidRDefault="00743B81" w:rsidP="00DA40B4">
      <w:pPr>
        <w:spacing w:line="480" w:lineRule="auto"/>
      </w:pPr>
    </w:p>
    <w:p w14:paraId="665DE0F3" w14:textId="06785371" w:rsidR="00743B81" w:rsidRPr="00743B81" w:rsidRDefault="00743B81" w:rsidP="00DA40B4">
      <w:pPr>
        <w:spacing w:line="480" w:lineRule="auto"/>
        <w:rPr>
          <w:b/>
          <w:bCs/>
        </w:rPr>
      </w:pPr>
      <w:r w:rsidRPr="00743B81">
        <w:rPr>
          <w:b/>
          <w:bCs/>
        </w:rPr>
        <w:lastRenderedPageBreak/>
        <w:t>Educational Processes</w:t>
      </w:r>
    </w:p>
    <w:p w14:paraId="0894BE60" w14:textId="44784A30" w:rsidR="00743B81" w:rsidRDefault="00743B81" w:rsidP="00DA40B4">
      <w:pPr>
        <w:spacing w:line="480" w:lineRule="auto"/>
      </w:pPr>
      <w:r>
        <w:tab/>
        <w:t>First, in order to achieve student success, an adult learner must</w:t>
      </w:r>
      <w:r w:rsidR="00443E92">
        <w:t xml:space="preserve"> </w:t>
      </w:r>
      <w:r w:rsidR="00443E92">
        <w:t>have the resources in order to navigate their own educational processes</w:t>
      </w:r>
      <w:r>
        <w:t xml:space="preserve">. Due to our student population being majority online, a lot of our resources are accessible through a virtual platform. For this outcome, I recommended virtual trainings for the students about the processes in order to navigate. These trainings would include step-by-step videos on how to navigate the collegiate process. This </w:t>
      </w:r>
      <w:r w:rsidR="00443E92">
        <w:t xml:space="preserve">will provide adult learners with the confidence to know they can determine their own educational path and complete it successfully. </w:t>
      </w:r>
    </w:p>
    <w:p w14:paraId="33B07A5F" w14:textId="3628EBE1" w:rsidR="00443E92" w:rsidRDefault="00443E92" w:rsidP="00DA40B4">
      <w:pPr>
        <w:spacing w:line="480" w:lineRule="auto"/>
        <w:rPr>
          <w:b/>
          <w:bCs/>
        </w:rPr>
      </w:pPr>
      <w:r>
        <w:rPr>
          <w:b/>
          <w:bCs/>
        </w:rPr>
        <w:t xml:space="preserve">Community </w:t>
      </w:r>
    </w:p>
    <w:p w14:paraId="5AEDD467" w14:textId="20AF081C" w:rsidR="00443E92" w:rsidRDefault="00443E92" w:rsidP="00DA40B4">
      <w:pPr>
        <w:spacing w:line="480" w:lineRule="auto"/>
      </w:pPr>
      <w:r>
        <w:rPr>
          <w:b/>
          <w:bCs/>
        </w:rPr>
        <w:tab/>
      </w:r>
      <w:r w:rsidRPr="00443E92">
        <w:t xml:space="preserve">Second, an adult learner </w:t>
      </w:r>
      <w:r>
        <w:t>must have a</w:t>
      </w:r>
      <w:r>
        <w:t xml:space="preserve"> comfortable space to share their ideas amongst peers</w:t>
      </w:r>
      <w:r>
        <w:t xml:space="preserve">. As it was previously mentioned, the population in AAP is majority online students which leaves a gap in the need for peer communication. For this outcome, I recommended a virtual community that encompassed a chat platform, private messaging, forums, and other useful resources. It was suggested as an academic social media platform that students can gather to share ideas and create a sense of community within their educational process. Having this support amongst like-minded individuals is essential for the success of adult learners. </w:t>
      </w:r>
    </w:p>
    <w:p w14:paraId="75D6E5EC" w14:textId="4DB9B65F" w:rsidR="00BE72B0" w:rsidRDefault="00BE72B0" w:rsidP="00DA40B4">
      <w:pPr>
        <w:spacing w:line="480" w:lineRule="auto"/>
        <w:rPr>
          <w:b/>
          <w:bCs/>
        </w:rPr>
      </w:pPr>
      <w:r w:rsidRPr="00BE72B0">
        <w:rPr>
          <w:b/>
          <w:bCs/>
        </w:rPr>
        <w:t>Personal and Academic Balance</w:t>
      </w:r>
    </w:p>
    <w:p w14:paraId="6896298F" w14:textId="072D1445" w:rsidR="00BE72B0" w:rsidRDefault="00BE72B0" w:rsidP="00DA40B4">
      <w:pPr>
        <w:spacing w:line="480" w:lineRule="auto"/>
      </w:pPr>
      <w:r>
        <w:tab/>
        <w:t xml:space="preserve">Third, adult learners </w:t>
      </w:r>
      <w:r w:rsidR="005F48BD">
        <w:t>need to be able to balance their private lives alongside their education</w:t>
      </w:r>
      <w:r w:rsidR="0058403F">
        <w:t>al</w:t>
      </w:r>
      <w:r w:rsidR="005F48BD">
        <w:t xml:space="preserve"> process</w:t>
      </w:r>
      <w:r w:rsidR="005F48BD">
        <w:t xml:space="preserve">. </w:t>
      </w:r>
      <w:r w:rsidR="0058403F">
        <w:t xml:space="preserve">Majority of our students are full-time employees who also have a family to care for in some way. Due to this, their time is extremely limited for academic based activities. For this outcome, I recommended creating a virtual tutoring program where our students can access helpful resources wherever and whenever they choose. This tutoring program is not limited to just current class topics but also a location for students to locate multiple learning tools </w:t>
      </w:r>
      <w:r w:rsidR="0058403F">
        <w:lastRenderedPageBreak/>
        <w:t xml:space="preserve">such as technological and writing help. The system is intended to be similar to a library for just our students with the ability to have video and chat conferences with specialized tutors. Through these resources, our students will be able to better balance their personal and academic life because they will be getting assistance during their preferred time. </w:t>
      </w:r>
    </w:p>
    <w:p w14:paraId="676F4FBD" w14:textId="0CFBE385" w:rsidR="0058403F" w:rsidRPr="0058403F" w:rsidRDefault="0058403F" w:rsidP="0058403F">
      <w:pPr>
        <w:spacing w:line="480" w:lineRule="auto"/>
        <w:jc w:val="center"/>
        <w:rPr>
          <w:b/>
          <w:bCs/>
        </w:rPr>
      </w:pPr>
      <w:r w:rsidRPr="0058403F">
        <w:rPr>
          <w:b/>
          <w:bCs/>
        </w:rPr>
        <w:t>Conclusion</w:t>
      </w:r>
    </w:p>
    <w:p w14:paraId="722CDC64" w14:textId="0E674F4F" w:rsidR="0038539E" w:rsidRPr="00BE72B0" w:rsidRDefault="0058403F" w:rsidP="00DA40B4">
      <w:pPr>
        <w:spacing w:line="480" w:lineRule="auto"/>
      </w:pPr>
      <w:r>
        <w:tab/>
        <w:t xml:space="preserve">Like all specialized populations, adult learners have specific needs that go beyond the resources typically provided at higher education institutions. </w:t>
      </w:r>
      <w:r w:rsidR="0038539E">
        <w:t xml:space="preserve">Without these needs being met, adult learners run the risk of not being able to successfully complete the program. It is imperative that professionals who work with this specialized population have an understanding of what these needs are and how to fulfill them through effective programs and resources. In the specific office that I work in, our population is a perfect example of what it means to be an adult learner. Exhibiting all typical concerns and needs, it is the responsibility of our office to make sure that these students are provided with these tools for success. It is the hope that other professionals will take this research and recommendations to their own campuses and apply it to their adult learners. </w:t>
      </w:r>
      <w:r w:rsidR="00BE271D">
        <w:t xml:space="preserve">By understanding where the needs stem from, provided through this research, professionals can strategically plan their resources around learning outcomes that are specific to the success of adult student learners. </w:t>
      </w:r>
    </w:p>
    <w:p w14:paraId="69BEC51B" w14:textId="569C857B" w:rsidR="00BE72B0" w:rsidRDefault="00BE72B0" w:rsidP="00DA40B4">
      <w:pPr>
        <w:spacing w:line="480" w:lineRule="auto"/>
      </w:pPr>
      <w:r>
        <w:tab/>
      </w:r>
    </w:p>
    <w:p w14:paraId="4BAE187B" w14:textId="77777777" w:rsidR="00443E92" w:rsidRPr="00443E92" w:rsidRDefault="00443E92" w:rsidP="00DA40B4">
      <w:pPr>
        <w:spacing w:line="480" w:lineRule="auto"/>
      </w:pPr>
    </w:p>
    <w:p w14:paraId="2FE2AE01" w14:textId="5614D51C" w:rsidR="00B3502A" w:rsidRDefault="00443E92" w:rsidP="00DA40B4">
      <w:pPr>
        <w:spacing w:line="480" w:lineRule="auto"/>
      </w:pPr>
      <w:r>
        <w:tab/>
      </w:r>
    </w:p>
    <w:p w14:paraId="57728F72" w14:textId="77777777" w:rsidR="00251F0A" w:rsidRPr="00DA40B4" w:rsidRDefault="00251F0A" w:rsidP="00DA40B4">
      <w:pPr>
        <w:spacing w:line="480" w:lineRule="auto"/>
      </w:pPr>
    </w:p>
    <w:p w14:paraId="3D7A32F5" w14:textId="1401BA3F" w:rsidR="0004427D" w:rsidRDefault="0004427D" w:rsidP="0004427D">
      <w:pPr>
        <w:spacing w:line="480" w:lineRule="auto"/>
        <w:rPr>
          <w:b/>
          <w:bCs/>
        </w:rPr>
      </w:pPr>
      <w:r>
        <w:rPr>
          <w:b/>
          <w:bCs/>
        </w:rPr>
        <w:tab/>
      </w:r>
    </w:p>
    <w:p w14:paraId="42779E2F" w14:textId="2C5A4678" w:rsidR="00E01A7F" w:rsidRDefault="00E01A7F">
      <w:pPr>
        <w:rPr>
          <w:b/>
          <w:bCs/>
        </w:rPr>
      </w:pPr>
    </w:p>
    <w:p w14:paraId="1E4E28FC" w14:textId="77777777" w:rsidR="00BE271D" w:rsidRDefault="00BE271D">
      <w:bookmarkStart w:id="0" w:name="_GoBack"/>
      <w:bookmarkEnd w:id="0"/>
    </w:p>
    <w:p w14:paraId="6DBEB002" w14:textId="2604811D" w:rsidR="000C1E27" w:rsidRDefault="003C2BA4" w:rsidP="003C2BA4">
      <w:pPr>
        <w:jc w:val="center"/>
      </w:pPr>
      <w:r w:rsidRPr="003C2BA4">
        <w:lastRenderedPageBreak/>
        <w:t xml:space="preserve">References </w:t>
      </w:r>
    </w:p>
    <w:p w14:paraId="41E2A43C" w14:textId="7AF34135" w:rsidR="000C1E27" w:rsidRPr="000C1E27" w:rsidRDefault="000C1E27" w:rsidP="000C1E27">
      <w:pPr>
        <w:spacing w:before="100" w:beforeAutospacing="1" w:after="100" w:afterAutospacing="1"/>
        <w:rPr>
          <w:rFonts w:eastAsia="Times New Roman"/>
        </w:rPr>
      </w:pPr>
      <w:proofErr w:type="spellStart"/>
      <w:r w:rsidRPr="000C1E27">
        <w:rPr>
          <w:rFonts w:eastAsia="Times New Roman"/>
        </w:rPr>
        <w:t>Dumais</w:t>
      </w:r>
      <w:proofErr w:type="spellEnd"/>
      <w:r w:rsidRPr="000C1E27">
        <w:rPr>
          <w:rFonts w:eastAsia="Times New Roman"/>
        </w:rPr>
        <w:t xml:space="preserve">, S. A., Rizzuto, T. E., Cleary, J. &amp; Dowden, L. (2013). Stressors and supports for adult </w:t>
      </w:r>
      <w:r>
        <w:rPr>
          <w:rFonts w:eastAsia="Times New Roman"/>
        </w:rPr>
        <w:tab/>
      </w:r>
      <w:r w:rsidRPr="000C1E27">
        <w:rPr>
          <w:rFonts w:eastAsia="Times New Roman"/>
        </w:rPr>
        <w:t xml:space="preserve">on- line learners: comparing first-and continuing-generation college students. </w:t>
      </w:r>
      <w:r w:rsidRPr="000C1E27">
        <w:rPr>
          <w:rFonts w:eastAsia="Times New Roman"/>
          <w:i/>
          <w:iCs/>
        </w:rPr>
        <w:t xml:space="preserve">American </w:t>
      </w:r>
      <w:r>
        <w:rPr>
          <w:rFonts w:eastAsia="Times New Roman"/>
          <w:i/>
          <w:iCs/>
        </w:rPr>
        <w:tab/>
      </w:r>
      <w:r w:rsidRPr="000C1E27">
        <w:rPr>
          <w:rFonts w:eastAsia="Times New Roman"/>
          <w:i/>
          <w:iCs/>
        </w:rPr>
        <w:t>Journal of Distance Education</w:t>
      </w:r>
      <w:r w:rsidRPr="000C1E27">
        <w:rPr>
          <w:rFonts w:eastAsia="Times New Roman"/>
        </w:rPr>
        <w:t xml:space="preserve">, </w:t>
      </w:r>
      <w:r w:rsidRPr="000C1E27">
        <w:rPr>
          <w:rFonts w:eastAsia="Times New Roman"/>
          <w:i/>
          <w:iCs/>
        </w:rPr>
        <w:t>27</w:t>
      </w:r>
      <w:r w:rsidRPr="000C1E27">
        <w:rPr>
          <w:rFonts w:eastAsia="Times New Roman"/>
        </w:rPr>
        <w:t xml:space="preserve">(2), 100–110. </w:t>
      </w:r>
    </w:p>
    <w:p w14:paraId="29A41DFB" w14:textId="44EFBDA6" w:rsidR="003C2BA4" w:rsidRPr="008C7960" w:rsidRDefault="003C2BA4" w:rsidP="003C2BA4">
      <w:pPr>
        <w:pStyle w:val="NormalWeb"/>
      </w:pPr>
      <w:r w:rsidRPr="00BB0536">
        <w:t xml:space="preserve">Cercone, K. (2008). Characteristics of Adult Learners with Implications for Online Learning </w:t>
      </w:r>
      <w:r w:rsidRPr="008C7960">
        <w:tab/>
        <w:t xml:space="preserve">Design. </w:t>
      </w:r>
      <w:r w:rsidRPr="008C7960">
        <w:rPr>
          <w:i/>
          <w:iCs/>
        </w:rPr>
        <w:t>AACE Journal, 16</w:t>
      </w:r>
      <w:r w:rsidRPr="008C7960">
        <w:t xml:space="preserve">(2), 137–159. </w:t>
      </w:r>
    </w:p>
    <w:p w14:paraId="33D6AD01" w14:textId="59030116" w:rsidR="00141025" w:rsidRPr="00843F61" w:rsidRDefault="00141025" w:rsidP="00843F61">
      <w:r w:rsidRPr="008C7960">
        <w:t xml:space="preserve">Johns Hopkins University (2019). AAP Student Profile.Retrieved from </w:t>
      </w:r>
      <w:r w:rsidRPr="008C7960">
        <w:tab/>
      </w:r>
      <w:hyperlink r:id="rId6" w:history="1">
        <w:r w:rsidRPr="00843F61">
          <w:rPr>
            <w:rStyle w:val="Hyperlink"/>
          </w:rPr>
          <w:t>https://advanced.jhu.edu/about-us/student-snapshot/</w:t>
        </w:r>
      </w:hyperlink>
      <w:r w:rsidRPr="00843F61">
        <w:t>.</w:t>
      </w:r>
    </w:p>
    <w:p w14:paraId="3F2ECA3A" w14:textId="77777777" w:rsidR="00843F61" w:rsidRDefault="00843F61" w:rsidP="00843F61"/>
    <w:p w14:paraId="059C7856" w14:textId="41323BD9" w:rsidR="00BB0536" w:rsidRPr="00843F61" w:rsidRDefault="003C2BA4" w:rsidP="00843F61">
      <w:proofErr w:type="spellStart"/>
      <w:r w:rsidRPr="00843F61">
        <w:t>Kahu</w:t>
      </w:r>
      <w:proofErr w:type="spellEnd"/>
      <w:r w:rsidRPr="00843F61">
        <w:t xml:space="preserve">, E. R., Stephens, C., Leach, L. &amp; </w:t>
      </w:r>
      <w:proofErr w:type="spellStart"/>
      <w:r w:rsidRPr="00843F61">
        <w:t>Zepke</w:t>
      </w:r>
      <w:proofErr w:type="spellEnd"/>
      <w:r w:rsidRPr="00843F61">
        <w:t xml:space="preserve">, N. (2013). The engagement of mature distance </w:t>
      </w:r>
      <w:r w:rsidRPr="00843F61">
        <w:tab/>
        <w:t>students. Higher Education Research &amp; Development, 32(5), 791–804.</w:t>
      </w:r>
    </w:p>
    <w:p w14:paraId="7612AECC" w14:textId="77777777" w:rsidR="008769B5" w:rsidRPr="00843F61" w:rsidRDefault="008769B5" w:rsidP="00843F61"/>
    <w:p w14:paraId="218B2D5D" w14:textId="16099683" w:rsidR="00BB0536" w:rsidRPr="00843F61" w:rsidRDefault="00BB0536" w:rsidP="00843F61">
      <w:r w:rsidRPr="00843F61">
        <w:t xml:space="preserve">Kara, </w:t>
      </w:r>
      <w:proofErr w:type="spellStart"/>
      <w:r w:rsidRPr="00843F61">
        <w:t>Erdoğdu</w:t>
      </w:r>
      <w:proofErr w:type="spellEnd"/>
      <w:r w:rsidRPr="00843F61">
        <w:t xml:space="preserve">, </w:t>
      </w:r>
      <w:proofErr w:type="spellStart"/>
      <w:r w:rsidRPr="00843F61">
        <w:t>Kokoç</w:t>
      </w:r>
      <w:proofErr w:type="spellEnd"/>
      <w:r w:rsidRPr="00843F61">
        <w:t xml:space="preserve">, &amp; </w:t>
      </w:r>
      <w:proofErr w:type="spellStart"/>
      <w:r w:rsidRPr="00843F61">
        <w:t>Cagiltay</w:t>
      </w:r>
      <w:proofErr w:type="spellEnd"/>
      <w:r w:rsidRPr="00843F61">
        <w:t xml:space="preserve"> (2019). Challenges Faced by Adult Learners in Online </w:t>
      </w:r>
      <w:r w:rsidRPr="00843F61">
        <w:tab/>
        <w:t>Distance Education: A Literature Review. Open Praxis, 11(1), 5–22. </w:t>
      </w:r>
    </w:p>
    <w:p w14:paraId="721CBB18" w14:textId="77777777" w:rsidR="00843F61" w:rsidRDefault="00843F61" w:rsidP="00843F61"/>
    <w:p w14:paraId="1F4BF4B8" w14:textId="4158435A" w:rsidR="00BB0536" w:rsidRPr="00843F61" w:rsidRDefault="008C7960" w:rsidP="00843F61">
      <w:r w:rsidRPr="00843F61">
        <w:t xml:space="preserve">Kim, K. J., Liu, S., &amp; Bonk, C. J. (2005). Online MBA students’ perceptions of online learning: </w:t>
      </w:r>
      <w:r w:rsidRPr="00843F61">
        <w:tab/>
        <w:t xml:space="preserve">Benefits, challenges, and suggestions. The Internet and Higher Education, 8(4), 335–344. </w:t>
      </w:r>
    </w:p>
    <w:p w14:paraId="3876D0BA" w14:textId="77777777" w:rsidR="00843F61" w:rsidRDefault="00843F61" w:rsidP="00843F61"/>
    <w:p w14:paraId="5FCCEE84" w14:textId="53427B08" w:rsidR="000B5056" w:rsidRPr="00843F61" w:rsidRDefault="000B5056" w:rsidP="00843F61">
      <w:r w:rsidRPr="00843F61">
        <w:t>Lindeman, E. (2015). The meaning of adult education. Andesite Press.</w:t>
      </w:r>
    </w:p>
    <w:p w14:paraId="1E3158DE" w14:textId="3C25672A" w:rsidR="00240404" w:rsidRPr="00240404" w:rsidRDefault="00240404" w:rsidP="00240404">
      <w:pPr>
        <w:spacing w:before="100" w:beforeAutospacing="1" w:after="100" w:afterAutospacing="1"/>
        <w:rPr>
          <w:rFonts w:eastAsia="Times New Roman"/>
        </w:rPr>
      </w:pPr>
      <w:r w:rsidRPr="00240404">
        <w:rPr>
          <w:rFonts w:eastAsia="Times New Roman"/>
        </w:rPr>
        <w:t>Nor, N. M. M. (2011). Understanding older adult learners in distance education: The</w:t>
      </w:r>
      <w:r>
        <w:rPr>
          <w:rFonts w:eastAsia="Times New Roman"/>
        </w:rPr>
        <w:t xml:space="preserve"> </w:t>
      </w:r>
      <w:r w:rsidRPr="00240404">
        <w:rPr>
          <w:rFonts w:eastAsia="Times New Roman"/>
        </w:rPr>
        <w:t xml:space="preserve">case of </w:t>
      </w:r>
      <w:r>
        <w:rPr>
          <w:rFonts w:eastAsia="Times New Roman"/>
        </w:rPr>
        <w:tab/>
      </w:r>
      <w:proofErr w:type="spellStart"/>
      <w:r w:rsidRPr="00240404">
        <w:rPr>
          <w:rFonts w:eastAsia="Times New Roman"/>
        </w:rPr>
        <w:t>Universiti</w:t>
      </w:r>
      <w:proofErr w:type="spellEnd"/>
      <w:r w:rsidRPr="00240404">
        <w:rPr>
          <w:rFonts w:eastAsia="Times New Roman"/>
        </w:rPr>
        <w:t xml:space="preserve"> </w:t>
      </w:r>
      <w:proofErr w:type="spellStart"/>
      <w:r w:rsidRPr="00240404">
        <w:rPr>
          <w:rFonts w:eastAsia="Times New Roman"/>
        </w:rPr>
        <w:t>Sains</w:t>
      </w:r>
      <w:proofErr w:type="spellEnd"/>
      <w:r w:rsidRPr="00240404">
        <w:rPr>
          <w:rFonts w:eastAsia="Times New Roman"/>
        </w:rPr>
        <w:t xml:space="preserve"> Malaysia. </w:t>
      </w:r>
      <w:r w:rsidRPr="00240404">
        <w:rPr>
          <w:rFonts w:eastAsia="Times New Roman"/>
          <w:i/>
          <w:iCs/>
        </w:rPr>
        <w:t>Turkish Online Journal of Distance Education</w:t>
      </w:r>
      <w:r w:rsidRPr="00240404">
        <w:rPr>
          <w:rFonts w:eastAsia="Times New Roman"/>
        </w:rPr>
        <w:t xml:space="preserve">, </w:t>
      </w:r>
      <w:r w:rsidRPr="00240404">
        <w:rPr>
          <w:rFonts w:eastAsia="Times New Roman"/>
        </w:rPr>
        <w:tab/>
      </w:r>
      <w:r w:rsidRPr="00240404">
        <w:rPr>
          <w:rFonts w:eastAsia="Times New Roman"/>
          <w:i/>
          <w:iCs/>
        </w:rPr>
        <w:t>12</w:t>
      </w:r>
      <w:r w:rsidRPr="00240404">
        <w:rPr>
          <w:rFonts w:eastAsia="Times New Roman"/>
        </w:rPr>
        <w:t>(3), 229–</w:t>
      </w:r>
      <w:r>
        <w:rPr>
          <w:rFonts w:eastAsia="Times New Roman"/>
        </w:rPr>
        <w:tab/>
      </w:r>
      <w:r w:rsidRPr="00240404">
        <w:rPr>
          <w:rFonts w:eastAsia="Times New Roman"/>
        </w:rPr>
        <w:t xml:space="preserve">340. </w:t>
      </w:r>
    </w:p>
    <w:p w14:paraId="6A93BFC7" w14:textId="65A1EC68" w:rsidR="001A7971" w:rsidRPr="001A7971" w:rsidRDefault="001A7971" w:rsidP="001A7971">
      <w:pPr>
        <w:spacing w:before="100" w:beforeAutospacing="1" w:after="100" w:afterAutospacing="1"/>
        <w:rPr>
          <w:rFonts w:eastAsia="Times New Roman"/>
        </w:rPr>
      </w:pPr>
      <w:proofErr w:type="spellStart"/>
      <w:r w:rsidRPr="001A7971">
        <w:rPr>
          <w:rFonts w:eastAsia="Times New Roman"/>
        </w:rPr>
        <w:t>Pierrakeas</w:t>
      </w:r>
      <w:proofErr w:type="spellEnd"/>
      <w:r w:rsidRPr="001A7971">
        <w:rPr>
          <w:rFonts w:eastAsia="Times New Roman"/>
        </w:rPr>
        <w:t xml:space="preserve">, C., </w:t>
      </w:r>
      <w:proofErr w:type="spellStart"/>
      <w:r w:rsidRPr="001A7971">
        <w:rPr>
          <w:rFonts w:eastAsia="Times New Roman"/>
        </w:rPr>
        <w:t>Xeno</w:t>
      </w:r>
      <w:proofErr w:type="spellEnd"/>
      <w:r w:rsidRPr="001A7971">
        <w:rPr>
          <w:rFonts w:eastAsia="Times New Roman"/>
        </w:rPr>
        <w:t xml:space="preserve">, M., </w:t>
      </w:r>
      <w:proofErr w:type="spellStart"/>
      <w:r w:rsidRPr="001A7971">
        <w:rPr>
          <w:rFonts w:eastAsia="Times New Roman"/>
        </w:rPr>
        <w:t>Panagiotakopoulos</w:t>
      </w:r>
      <w:proofErr w:type="spellEnd"/>
      <w:r w:rsidRPr="001A7971">
        <w:rPr>
          <w:rFonts w:eastAsia="Times New Roman"/>
        </w:rPr>
        <w:t xml:space="preserve">, C., &amp; </w:t>
      </w:r>
      <w:proofErr w:type="spellStart"/>
      <w:r w:rsidRPr="001A7971">
        <w:rPr>
          <w:rFonts w:eastAsia="Times New Roman"/>
        </w:rPr>
        <w:t>Vergidis</w:t>
      </w:r>
      <w:proofErr w:type="spellEnd"/>
      <w:r w:rsidRPr="001A7971">
        <w:rPr>
          <w:rFonts w:eastAsia="Times New Roman"/>
        </w:rPr>
        <w:t xml:space="preserve">, D. (2004). A comparative study of </w:t>
      </w:r>
      <w:r>
        <w:rPr>
          <w:rFonts w:eastAsia="Times New Roman"/>
        </w:rPr>
        <w:tab/>
      </w:r>
      <w:r w:rsidRPr="001A7971">
        <w:rPr>
          <w:rFonts w:eastAsia="Times New Roman"/>
        </w:rPr>
        <w:t xml:space="preserve">dropout rates and causes for two different distance education courses. </w:t>
      </w:r>
      <w:r w:rsidRPr="001A7971">
        <w:rPr>
          <w:rFonts w:eastAsia="Times New Roman"/>
          <w:i/>
          <w:iCs/>
        </w:rPr>
        <w:t xml:space="preserve">The International </w:t>
      </w:r>
      <w:r>
        <w:rPr>
          <w:rFonts w:eastAsia="Times New Roman"/>
          <w:i/>
          <w:iCs/>
        </w:rPr>
        <w:tab/>
      </w:r>
      <w:r w:rsidRPr="001A7971">
        <w:rPr>
          <w:rFonts w:eastAsia="Times New Roman"/>
          <w:i/>
          <w:iCs/>
        </w:rPr>
        <w:t>Review of Research in Open and Distributed Learning, 5</w:t>
      </w:r>
      <w:r w:rsidRPr="001A7971">
        <w:rPr>
          <w:rFonts w:eastAsia="Times New Roman"/>
        </w:rPr>
        <w:t xml:space="preserve">(2), 1–15. </w:t>
      </w:r>
    </w:p>
    <w:p w14:paraId="149E45A5" w14:textId="0AF32DB9" w:rsidR="001A7971" w:rsidRPr="001A7971" w:rsidRDefault="001A7971" w:rsidP="00896ACF">
      <w:pPr>
        <w:spacing w:before="100" w:beforeAutospacing="1" w:after="100" w:afterAutospacing="1"/>
        <w:rPr>
          <w:rFonts w:eastAsia="Times New Roman"/>
        </w:rPr>
      </w:pPr>
      <w:r w:rsidRPr="001A7971">
        <w:rPr>
          <w:rFonts w:eastAsia="Times New Roman"/>
        </w:rPr>
        <w:t xml:space="preserve">Selwyn, N. (2011). ‘Finding an appropriate fit for me’: examining the (in) flexibilities of </w:t>
      </w:r>
      <w:r w:rsidRPr="001A7971">
        <w:rPr>
          <w:rFonts w:eastAsia="Times New Roman"/>
        </w:rPr>
        <w:tab/>
      </w:r>
      <w:r w:rsidRPr="001A7971">
        <w:rPr>
          <w:rFonts w:eastAsia="Times New Roman"/>
        </w:rPr>
        <w:t xml:space="preserve">international distance learning. </w:t>
      </w:r>
      <w:r w:rsidRPr="001A7971">
        <w:rPr>
          <w:rFonts w:eastAsia="Times New Roman"/>
          <w:i/>
          <w:iCs/>
        </w:rPr>
        <w:t>International Journal of Lifelong Education</w:t>
      </w:r>
      <w:r w:rsidRPr="001A7971">
        <w:rPr>
          <w:rFonts w:eastAsia="Times New Roman"/>
        </w:rPr>
        <w:t xml:space="preserve">, </w:t>
      </w:r>
      <w:r w:rsidRPr="001A7971">
        <w:rPr>
          <w:rFonts w:eastAsia="Times New Roman"/>
          <w:i/>
          <w:iCs/>
        </w:rPr>
        <w:t>30</w:t>
      </w:r>
      <w:r w:rsidRPr="001A7971">
        <w:rPr>
          <w:rFonts w:eastAsia="Times New Roman"/>
        </w:rPr>
        <w:t>(3), 367–</w:t>
      </w:r>
      <w:r w:rsidRPr="001A7971">
        <w:rPr>
          <w:rFonts w:eastAsia="Times New Roman"/>
        </w:rPr>
        <w:tab/>
      </w:r>
      <w:r w:rsidRPr="001A7971">
        <w:rPr>
          <w:rFonts w:eastAsia="Times New Roman"/>
        </w:rPr>
        <w:t xml:space="preserve">383. </w:t>
      </w:r>
    </w:p>
    <w:p w14:paraId="77F64ED2" w14:textId="3F832D8C" w:rsidR="00896ACF" w:rsidRPr="001A7971" w:rsidRDefault="00896ACF" w:rsidP="00896ACF">
      <w:pPr>
        <w:spacing w:before="100" w:beforeAutospacing="1" w:after="100" w:afterAutospacing="1"/>
        <w:rPr>
          <w:rFonts w:eastAsia="Times New Roman"/>
        </w:rPr>
      </w:pPr>
      <w:proofErr w:type="spellStart"/>
      <w:r w:rsidRPr="00896ACF">
        <w:rPr>
          <w:rFonts w:eastAsia="Times New Roman"/>
        </w:rPr>
        <w:t>Willging</w:t>
      </w:r>
      <w:proofErr w:type="spellEnd"/>
      <w:r w:rsidRPr="00896ACF">
        <w:rPr>
          <w:rFonts w:eastAsia="Times New Roman"/>
        </w:rPr>
        <w:t xml:space="preserve">, P. A. &amp; Johnson, S. D. (2009). Factors that influence students’ decision to </w:t>
      </w:r>
      <w:r w:rsidR="001A7971" w:rsidRPr="001A7971">
        <w:rPr>
          <w:rFonts w:eastAsia="Times New Roman"/>
        </w:rPr>
        <w:t>drop out</w:t>
      </w:r>
      <w:r w:rsidRPr="00896ACF">
        <w:rPr>
          <w:rFonts w:eastAsia="Times New Roman"/>
        </w:rPr>
        <w:t xml:space="preserve"> of </w:t>
      </w:r>
      <w:r w:rsidRPr="001A7971">
        <w:rPr>
          <w:rFonts w:eastAsia="Times New Roman"/>
        </w:rPr>
        <w:tab/>
      </w:r>
      <w:r w:rsidRPr="00896ACF">
        <w:rPr>
          <w:rFonts w:eastAsia="Times New Roman"/>
        </w:rPr>
        <w:t xml:space="preserve">online courses. </w:t>
      </w:r>
      <w:r w:rsidRPr="00896ACF">
        <w:rPr>
          <w:rFonts w:eastAsia="Times New Roman"/>
          <w:i/>
          <w:iCs/>
        </w:rPr>
        <w:t>Journal of Asynchronous Learning Networks</w:t>
      </w:r>
      <w:r w:rsidRPr="00896ACF">
        <w:rPr>
          <w:rFonts w:eastAsia="Times New Roman"/>
        </w:rPr>
        <w:t xml:space="preserve">, </w:t>
      </w:r>
      <w:r w:rsidRPr="00896ACF">
        <w:rPr>
          <w:rFonts w:eastAsia="Times New Roman"/>
          <w:i/>
          <w:iCs/>
        </w:rPr>
        <w:t>13</w:t>
      </w:r>
      <w:r w:rsidRPr="00896ACF">
        <w:rPr>
          <w:rFonts w:eastAsia="Times New Roman"/>
        </w:rPr>
        <w:t xml:space="preserve">(3), 115–127. </w:t>
      </w:r>
    </w:p>
    <w:p w14:paraId="5C92BDB7" w14:textId="26DADC78" w:rsidR="001A7971" w:rsidRPr="001A7971" w:rsidRDefault="001A7971" w:rsidP="001A7971">
      <w:pPr>
        <w:spacing w:before="100" w:beforeAutospacing="1" w:after="100" w:afterAutospacing="1"/>
        <w:rPr>
          <w:rFonts w:eastAsia="Times New Roman"/>
        </w:rPr>
      </w:pPr>
      <w:r w:rsidRPr="001A7971">
        <w:rPr>
          <w:rFonts w:eastAsia="Times New Roman"/>
        </w:rPr>
        <w:t xml:space="preserve">Yasmin, D. (2013). Application of the classification tree model in predicting learner dropout </w:t>
      </w:r>
      <w:r w:rsidRPr="001A7971">
        <w:rPr>
          <w:rFonts w:eastAsia="Times New Roman"/>
        </w:rPr>
        <w:tab/>
      </w:r>
      <w:proofErr w:type="spellStart"/>
      <w:r w:rsidRPr="001A7971">
        <w:rPr>
          <w:rFonts w:eastAsia="Times New Roman"/>
        </w:rPr>
        <w:t>behaviour</w:t>
      </w:r>
      <w:proofErr w:type="spellEnd"/>
      <w:r w:rsidRPr="001A7971">
        <w:rPr>
          <w:rFonts w:eastAsia="Times New Roman"/>
        </w:rPr>
        <w:t xml:space="preserve"> in open and distance learning. </w:t>
      </w:r>
      <w:r w:rsidRPr="001A7971">
        <w:rPr>
          <w:rFonts w:eastAsia="Times New Roman"/>
          <w:i/>
          <w:iCs/>
        </w:rPr>
        <w:t>Distance Education</w:t>
      </w:r>
      <w:r w:rsidRPr="001A7971">
        <w:rPr>
          <w:rFonts w:eastAsia="Times New Roman"/>
        </w:rPr>
        <w:t xml:space="preserve">, </w:t>
      </w:r>
      <w:r w:rsidRPr="001A7971">
        <w:rPr>
          <w:rFonts w:eastAsia="Times New Roman"/>
          <w:i/>
          <w:iCs/>
        </w:rPr>
        <w:t>34</w:t>
      </w:r>
      <w:r w:rsidRPr="001A7971">
        <w:rPr>
          <w:rFonts w:eastAsia="Times New Roman"/>
        </w:rPr>
        <w:t xml:space="preserve">(2), 218–231. </w:t>
      </w:r>
    </w:p>
    <w:p w14:paraId="26773784" w14:textId="77777777" w:rsidR="001A7971" w:rsidRPr="00896ACF" w:rsidRDefault="001A7971" w:rsidP="00896ACF">
      <w:pPr>
        <w:spacing w:before="100" w:beforeAutospacing="1" w:after="100" w:afterAutospacing="1"/>
        <w:rPr>
          <w:rFonts w:eastAsia="Times New Roman"/>
        </w:rPr>
      </w:pPr>
    </w:p>
    <w:p w14:paraId="7B921065" w14:textId="77777777" w:rsidR="00896ACF" w:rsidRDefault="00896ACF" w:rsidP="003C2BA4">
      <w:pPr>
        <w:pStyle w:val="NormalWeb"/>
      </w:pPr>
    </w:p>
    <w:p w14:paraId="6DD636B6" w14:textId="77777777" w:rsidR="004D7A14" w:rsidRDefault="004D7A14"/>
    <w:sectPr w:rsidR="004D7A14" w:rsidSect="004D7A14">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0387E" w14:textId="77777777" w:rsidR="00C57D4E" w:rsidRDefault="00C57D4E" w:rsidP="004D7A14">
      <w:r>
        <w:separator/>
      </w:r>
    </w:p>
  </w:endnote>
  <w:endnote w:type="continuationSeparator" w:id="0">
    <w:p w14:paraId="7B022E0F" w14:textId="77777777" w:rsidR="00C57D4E" w:rsidRDefault="00C57D4E" w:rsidP="004D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D84A7" w14:textId="77777777" w:rsidR="00C57D4E" w:rsidRDefault="00C57D4E" w:rsidP="004D7A14">
      <w:r>
        <w:separator/>
      </w:r>
    </w:p>
  </w:footnote>
  <w:footnote w:type="continuationSeparator" w:id="0">
    <w:p w14:paraId="30521601" w14:textId="77777777" w:rsidR="00C57D4E" w:rsidRDefault="00C57D4E" w:rsidP="004D7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259614"/>
      <w:docPartObj>
        <w:docPartGallery w:val="Page Numbers (Top of Page)"/>
        <w:docPartUnique/>
      </w:docPartObj>
    </w:sdtPr>
    <w:sdtEndPr>
      <w:rPr>
        <w:rStyle w:val="PageNumber"/>
      </w:rPr>
    </w:sdtEndPr>
    <w:sdtContent>
      <w:p w14:paraId="45085D24" w14:textId="690516A1" w:rsidR="004D7A14" w:rsidRDefault="004D7A14" w:rsidP="00B62F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AEA0D0" w14:textId="77777777" w:rsidR="004D7A14" w:rsidRDefault="004D7A14" w:rsidP="004D7A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5813784"/>
      <w:docPartObj>
        <w:docPartGallery w:val="Page Numbers (Top of Page)"/>
        <w:docPartUnique/>
      </w:docPartObj>
    </w:sdtPr>
    <w:sdtEndPr>
      <w:rPr>
        <w:rStyle w:val="PageNumber"/>
      </w:rPr>
    </w:sdtEndPr>
    <w:sdtContent>
      <w:p w14:paraId="077052F6" w14:textId="589E4F61" w:rsidR="004D7A14" w:rsidRDefault="004D7A14" w:rsidP="00B62F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C27C388" w14:textId="5E03CC7D" w:rsidR="004D7A14" w:rsidRDefault="004D7A14" w:rsidP="004D7A14">
    <w:pPr>
      <w:pStyle w:val="Header"/>
      <w:ind w:right="360"/>
    </w:pPr>
    <w:r>
      <w:t>STUDENT SUCCESS IN HIGHER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7038272"/>
      <w:docPartObj>
        <w:docPartGallery w:val="Page Numbers (Top of Page)"/>
        <w:docPartUnique/>
      </w:docPartObj>
    </w:sdtPr>
    <w:sdtEndPr>
      <w:rPr>
        <w:rStyle w:val="PageNumber"/>
      </w:rPr>
    </w:sdtEndPr>
    <w:sdtContent>
      <w:p w14:paraId="27907238" w14:textId="71303E12" w:rsidR="004D7A14" w:rsidRDefault="004D7A14" w:rsidP="00B62F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AA0A51" w14:textId="74FAC726" w:rsidR="004D7A14" w:rsidRDefault="004D7A14" w:rsidP="004D7A14">
    <w:pPr>
      <w:pStyle w:val="Header"/>
      <w:ind w:right="360"/>
    </w:pPr>
    <w:r>
      <w:t>Running header: STUDENT SUCCESS IN HIGHER 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14"/>
    <w:rsid w:val="00024B6B"/>
    <w:rsid w:val="0004427D"/>
    <w:rsid w:val="00070952"/>
    <w:rsid w:val="000B5056"/>
    <w:rsid w:val="000C1E27"/>
    <w:rsid w:val="000D794A"/>
    <w:rsid w:val="00141025"/>
    <w:rsid w:val="001435FA"/>
    <w:rsid w:val="00157586"/>
    <w:rsid w:val="00195727"/>
    <w:rsid w:val="001A7971"/>
    <w:rsid w:val="001C0E66"/>
    <w:rsid w:val="002009A7"/>
    <w:rsid w:val="00204626"/>
    <w:rsid w:val="00230107"/>
    <w:rsid w:val="00234918"/>
    <w:rsid w:val="00240404"/>
    <w:rsid w:val="00251F0A"/>
    <w:rsid w:val="00284A80"/>
    <w:rsid w:val="002A3828"/>
    <w:rsid w:val="002B22D3"/>
    <w:rsid w:val="002E4646"/>
    <w:rsid w:val="003158A9"/>
    <w:rsid w:val="00320F2D"/>
    <w:rsid w:val="00322D90"/>
    <w:rsid w:val="00351B3C"/>
    <w:rsid w:val="00366053"/>
    <w:rsid w:val="0038539E"/>
    <w:rsid w:val="003A3C8A"/>
    <w:rsid w:val="003A6D97"/>
    <w:rsid w:val="003C2BA4"/>
    <w:rsid w:val="003E230E"/>
    <w:rsid w:val="003E2781"/>
    <w:rsid w:val="00443E92"/>
    <w:rsid w:val="00482B29"/>
    <w:rsid w:val="004B7325"/>
    <w:rsid w:val="004D5948"/>
    <w:rsid w:val="004D7A14"/>
    <w:rsid w:val="00510D87"/>
    <w:rsid w:val="00517C26"/>
    <w:rsid w:val="005277EA"/>
    <w:rsid w:val="00537736"/>
    <w:rsid w:val="0058403F"/>
    <w:rsid w:val="005D01EE"/>
    <w:rsid w:val="005F29C2"/>
    <w:rsid w:val="005F48BD"/>
    <w:rsid w:val="00644C1B"/>
    <w:rsid w:val="006C5D44"/>
    <w:rsid w:val="006E5E44"/>
    <w:rsid w:val="00703545"/>
    <w:rsid w:val="0072331B"/>
    <w:rsid w:val="007243F8"/>
    <w:rsid w:val="00736AD3"/>
    <w:rsid w:val="00743B81"/>
    <w:rsid w:val="00757F5A"/>
    <w:rsid w:val="007872DF"/>
    <w:rsid w:val="00812AFB"/>
    <w:rsid w:val="008210BF"/>
    <w:rsid w:val="008244E5"/>
    <w:rsid w:val="00835FC2"/>
    <w:rsid w:val="00843F61"/>
    <w:rsid w:val="00871F57"/>
    <w:rsid w:val="008769B5"/>
    <w:rsid w:val="00896ACF"/>
    <w:rsid w:val="008A0D54"/>
    <w:rsid w:val="008A57C2"/>
    <w:rsid w:val="008C7960"/>
    <w:rsid w:val="008F145B"/>
    <w:rsid w:val="00931A75"/>
    <w:rsid w:val="009B4832"/>
    <w:rsid w:val="00A21AAD"/>
    <w:rsid w:val="00A56607"/>
    <w:rsid w:val="00A57278"/>
    <w:rsid w:val="00AD3897"/>
    <w:rsid w:val="00AE4B23"/>
    <w:rsid w:val="00B129CF"/>
    <w:rsid w:val="00B20F13"/>
    <w:rsid w:val="00B3502A"/>
    <w:rsid w:val="00B3681A"/>
    <w:rsid w:val="00B527F2"/>
    <w:rsid w:val="00B65055"/>
    <w:rsid w:val="00B80404"/>
    <w:rsid w:val="00B91EA3"/>
    <w:rsid w:val="00B94DDF"/>
    <w:rsid w:val="00BB0536"/>
    <w:rsid w:val="00BC66EF"/>
    <w:rsid w:val="00BD6A36"/>
    <w:rsid w:val="00BE271D"/>
    <w:rsid w:val="00BE72B0"/>
    <w:rsid w:val="00BF1256"/>
    <w:rsid w:val="00BF22AB"/>
    <w:rsid w:val="00BF239A"/>
    <w:rsid w:val="00C13082"/>
    <w:rsid w:val="00C5298D"/>
    <w:rsid w:val="00C57D4E"/>
    <w:rsid w:val="00CA6EA8"/>
    <w:rsid w:val="00CB1459"/>
    <w:rsid w:val="00CF78D8"/>
    <w:rsid w:val="00D13D5C"/>
    <w:rsid w:val="00D23B6C"/>
    <w:rsid w:val="00D84F79"/>
    <w:rsid w:val="00D936E8"/>
    <w:rsid w:val="00DA40B4"/>
    <w:rsid w:val="00DB0683"/>
    <w:rsid w:val="00DC6857"/>
    <w:rsid w:val="00DD1142"/>
    <w:rsid w:val="00DD228A"/>
    <w:rsid w:val="00DE54DA"/>
    <w:rsid w:val="00E01A7F"/>
    <w:rsid w:val="00E509E0"/>
    <w:rsid w:val="00E63EB3"/>
    <w:rsid w:val="00E82EA4"/>
    <w:rsid w:val="00E92D69"/>
    <w:rsid w:val="00E92DE0"/>
    <w:rsid w:val="00F0500F"/>
    <w:rsid w:val="00F06F50"/>
    <w:rsid w:val="00F1375E"/>
    <w:rsid w:val="00F45A2A"/>
    <w:rsid w:val="00F52A2F"/>
    <w:rsid w:val="00F866E8"/>
    <w:rsid w:val="00F87971"/>
    <w:rsid w:val="00F919DE"/>
    <w:rsid w:val="00FC2A84"/>
    <w:rsid w:val="00FE392C"/>
    <w:rsid w:val="00FF0352"/>
    <w:rsid w:val="00FF4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D7C4B4"/>
  <w15:chartTrackingRefBased/>
  <w15:docId w15:val="{5BBF0001-0059-FD42-AD3E-78BBDF27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1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7A14"/>
    <w:rPr>
      <w:sz w:val="18"/>
      <w:szCs w:val="18"/>
    </w:rPr>
  </w:style>
  <w:style w:type="character" w:customStyle="1" w:styleId="BalloonTextChar">
    <w:name w:val="Balloon Text Char"/>
    <w:basedOn w:val="DefaultParagraphFont"/>
    <w:link w:val="BalloonText"/>
    <w:uiPriority w:val="99"/>
    <w:semiHidden/>
    <w:rsid w:val="004D7A14"/>
    <w:rPr>
      <w:rFonts w:ascii="Times New Roman" w:hAnsi="Times New Roman" w:cs="Times New Roman"/>
      <w:sz w:val="18"/>
      <w:szCs w:val="18"/>
    </w:rPr>
  </w:style>
  <w:style w:type="paragraph" w:styleId="Header">
    <w:name w:val="header"/>
    <w:basedOn w:val="Normal"/>
    <w:link w:val="HeaderChar"/>
    <w:uiPriority w:val="99"/>
    <w:unhideWhenUsed/>
    <w:rsid w:val="004D7A14"/>
    <w:pPr>
      <w:tabs>
        <w:tab w:val="center" w:pos="4680"/>
        <w:tab w:val="right" w:pos="9360"/>
      </w:tabs>
    </w:pPr>
  </w:style>
  <w:style w:type="character" w:customStyle="1" w:styleId="HeaderChar">
    <w:name w:val="Header Char"/>
    <w:basedOn w:val="DefaultParagraphFont"/>
    <w:link w:val="Header"/>
    <w:uiPriority w:val="99"/>
    <w:rsid w:val="004D7A14"/>
    <w:rPr>
      <w:rFonts w:ascii="Times New Roman" w:hAnsi="Times New Roman" w:cs="Times New Roman"/>
    </w:rPr>
  </w:style>
  <w:style w:type="paragraph" w:styleId="Footer">
    <w:name w:val="footer"/>
    <w:basedOn w:val="Normal"/>
    <w:link w:val="FooterChar"/>
    <w:uiPriority w:val="99"/>
    <w:unhideWhenUsed/>
    <w:rsid w:val="004D7A14"/>
    <w:pPr>
      <w:tabs>
        <w:tab w:val="center" w:pos="4680"/>
        <w:tab w:val="right" w:pos="9360"/>
      </w:tabs>
    </w:pPr>
  </w:style>
  <w:style w:type="character" w:customStyle="1" w:styleId="FooterChar">
    <w:name w:val="Footer Char"/>
    <w:basedOn w:val="DefaultParagraphFont"/>
    <w:link w:val="Footer"/>
    <w:uiPriority w:val="99"/>
    <w:rsid w:val="004D7A14"/>
    <w:rPr>
      <w:rFonts w:ascii="Times New Roman" w:hAnsi="Times New Roman" w:cs="Times New Roman"/>
    </w:rPr>
  </w:style>
  <w:style w:type="character" w:styleId="PageNumber">
    <w:name w:val="page number"/>
    <w:basedOn w:val="DefaultParagraphFont"/>
    <w:uiPriority w:val="99"/>
    <w:semiHidden/>
    <w:unhideWhenUsed/>
    <w:rsid w:val="004D7A14"/>
  </w:style>
  <w:style w:type="character" w:customStyle="1" w:styleId="apple-converted-space">
    <w:name w:val="apple-converted-space"/>
    <w:basedOn w:val="DefaultParagraphFont"/>
    <w:rsid w:val="00BF22AB"/>
  </w:style>
  <w:style w:type="character" w:styleId="CommentReference">
    <w:name w:val="annotation reference"/>
    <w:basedOn w:val="DefaultParagraphFont"/>
    <w:uiPriority w:val="99"/>
    <w:semiHidden/>
    <w:unhideWhenUsed/>
    <w:rsid w:val="006C5D44"/>
    <w:rPr>
      <w:sz w:val="16"/>
      <w:szCs w:val="16"/>
    </w:rPr>
  </w:style>
  <w:style w:type="paragraph" w:styleId="CommentText">
    <w:name w:val="annotation text"/>
    <w:basedOn w:val="Normal"/>
    <w:link w:val="CommentTextChar"/>
    <w:uiPriority w:val="99"/>
    <w:semiHidden/>
    <w:unhideWhenUsed/>
    <w:rsid w:val="006C5D44"/>
    <w:rPr>
      <w:sz w:val="20"/>
      <w:szCs w:val="20"/>
    </w:rPr>
  </w:style>
  <w:style w:type="character" w:customStyle="1" w:styleId="CommentTextChar">
    <w:name w:val="Comment Text Char"/>
    <w:basedOn w:val="DefaultParagraphFont"/>
    <w:link w:val="CommentText"/>
    <w:uiPriority w:val="99"/>
    <w:semiHidden/>
    <w:rsid w:val="006C5D4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5D44"/>
    <w:rPr>
      <w:b/>
      <w:bCs/>
    </w:rPr>
  </w:style>
  <w:style w:type="character" w:customStyle="1" w:styleId="CommentSubjectChar">
    <w:name w:val="Comment Subject Char"/>
    <w:basedOn w:val="CommentTextChar"/>
    <w:link w:val="CommentSubject"/>
    <w:uiPriority w:val="99"/>
    <w:semiHidden/>
    <w:rsid w:val="006C5D44"/>
    <w:rPr>
      <w:rFonts w:ascii="Times New Roman" w:hAnsi="Times New Roman" w:cs="Times New Roman"/>
      <w:b/>
      <w:bCs/>
      <w:sz w:val="20"/>
      <w:szCs w:val="20"/>
    </w:rPr>
  </w:style>
  <w:style w:type="paragraph" w:styleId="NormalWeb">
    <w:name w:val="Normal (Web)"/>
    <w:basedOn w:val="Normal"/>
    <w:uiPriority w:val="99"/>
    <w:unhideWhenUsed/>
    <w:rsid w:val="003C2BA4"/>
    <w:pPr>
      <w:spacing w:before="100" w:beforeAutospacing="1" w:after="100" w:afterAutospacing="1"/>
    </w:pPr>
    <w:rPr>
      <w:rFonts w:eastAsia="Times New Roman"/>
    </w:rPr>
  </w:style>
  <w:style w:type="character" w:styleId="Hyperlink">
    <w:name w:val="Hyperlink"/>
    <w:basedOn w:val="DefaultParagraphFont"/>
    <w:uiPriority w:val="99"/>
    <w:unhideWhenUsed/>
    <w:rsid w:val="003C2BA4"/>
    <w:rPr>
      <w:color w:val="0563C1" w:themeColor="hyperlink"/>
      <w:u w:val="single"/>
    </w:rPr>
  </w:style>
  <w:style w:type="character" w:styleId="UnresolvedMention">
    <w:name w:val="Unresolved Mention"/>
    <w:basedOn w:val="DefaultParagraphFont"/>
    <w:uiPriority w:val="99"/>
    <w:semiHidden/>
    <w:unhideWhenUsed/>
    <w:rsid w:val="003C2BA4"/>
    <w:rPr>
      <w:color w:val="605E5C"/>
      <w:shd w:val="clear" w:color="auto" w:fill="E1DFDD"/>
    </w:rPr>
  </w:style>
  <w:style w:type="character" w:styleId="FollowedHyperlink">
    <w:name w:val="FollowedHyperlink"/>
    <w:basedOn w:val="DefaultParagraphFont"/>
    <w:uiPriority w:val="99"/>
    <w:semiHidden/>
    <w:unhideWhenUsed/>
    <w:rsid w:val="003C2BA4"/>
    <w:rPr>
      <w:color w:val="954F72" w:themeColor="followedHyperlink"/>
      <w:u w:val="single"/>
    </w:rPr>
  </w:style>
  <w:style w:type="paragraph" w:styleId="NoSpacing">
    <w:name w:val="No Spacing"/>
    <w:uiPriority w:val="1"/>
    <w:qFormat/>
    <w:rsid w:val="008769B5"/>
    <w:rPr>
      <w:rFonts w:ascii="Times New Roman" w:hAnsi="Times New Roman" w:cs="Times New Roman"/>
    </w:rPr>
  </w:style>
  <w:style w:type="paragraph" w:styleId="Quote">
    <w:name w:val="Quote"/>
    <w:basedOn w:val="Normal"/>
    <w:next w:val="Normal"/>
    <w:link w:val="QuoteChar"/>
    <w:uiPriority w:val="29"/>
    <w:qFormat/>
    <w:rsid w:val="002009A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09A7"/>
    <w:rPr>
      <w:rFonts w:ascii="Times New Roman" w:hAnsi="Times New Roman" w:cs="Times New Roman"/>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8601">
      <w:bodyDiv w:val="1"/>
      <w:marLeft w:val="0"/>
      <w:marRight w:val="0"/>
      <w:marTop w:val="0"/>
      <w:marBottom w:val="0"/>
      <w:divBdr>
        <w:top w:val="none" w:sz="0" w:space="0" w:color="auto"/>
        <w:left w:val="none" w:sz="0" w:space="0" w:color="auto"/>
        <w:bottom w:val="none" w:sz="0" w:space="0" w:color="auto"/>
        <w:right w:val="none" w:sz="0" w:space="0" w:color="auto"/>
      </w:divBdr>
      <w:divsChild>
        <w:div w:id="2015526877">
          <w:marLeft w:val="0"/>
          <w:marRight w:val="0"/>
          <w:marTop w:val="0"/>
          <w:marBottom w:val="0"/>
          <w:divBdr>
            <w:top w:val="none" w:sz="0" w:space="0" w:color="auto"/>
            <w:left w:val="none" w:sz="0" w:space="0" w:color="auto"/>
            <w:bottom w:val="none" w:sz="0" w:space="0" w:color="auto"/>
            <w:right w:val="none" w:sz="0" w:space="0" w:color="auto"/>
          </w:divBdr>
          <w:divsChild>
            <w:div w:id="355426110">
              <w:marLeft w:val="0"/>
              <w:marRight w:val="0"/>
              <w:marTop w:val="0"/>
              <w:marBottom w:val="0"/>
              <w:divBdr>
                <w:top w:val="none" w:sz="0" w:space="0" w:color="auto"/>
                <w:left w:val="none" w:sz="0" w:space="0" w:color="auto"/>
                <w:bottom w:val="none" w:sz="0" w:space="0" w:color="auto"/>
                <w:right w:val="none" w:sz="0" w:space="0" w:color="auto"/>
              </w:divBdr>
              <w:divsChild>
                <w:div w:id="10603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2137">
      <w:bodyDiv w:val="1"/>
      <w:marLeft w:val="0"/>
      <w:marRight w:val="0"/>
      <w:marTop w:val="0"/>
      <w:marBottom w:val="0"/>
      <w:divBdr>
        <w:top w:val="none" w:sz="0" w:space="0" w:color="auto"/>
        <w:left w:val="none" w:sz="0" w:space="0" w:color="auto"/>
        <w:bottom w:val="none" w:sz="0" w:space="0" w:color="auto"/>
        <w:right w:val="none" w:sz="0" w:space="0" w:color="auto"/>
      </w:divBdr>
    </w:div>
    <w:div w:id="657854023">
      <w:bodyDiv w:val="1"/>
      <w:marLeft w:val="0"/>
      <w:marRight w:val="0"/>
      <w:marTop w:val="0"/>
      <w:marBottom w:val="0"/>
      <w:divBdr>
        <w:top w:val="none" w:sz="0" w:space="0" w:color="auto"/>
        <w:left w:val="none" w:sz="0" w:space="0" w:color="auto"/>
        <w:bottom w:val="none" w:sz="0" w:space="0" w:color="auto"/>
        <w:right w:val="none" w:sz="0" w:space="0" w:color="auto"/>
      </w:divBdr>
    </w:div>
    <w:div w:id="795175802">
      <w:bodyDiv w:val="1"/>
      <w:marLeft w:val="0"/>
      <w:marRight w:val="0"/>
      <w:marTop w:val="0"/>
      <w:marBottom w:val="0"/>
      <w:divBdr>
        <w:top w:val="none" w:sz="0" w:space="0" w:color="auto"/>
        <w:left w:val="none" w:sz="0" w:space="0" w:color="auto"/>
        <w:bottom w:val="none" w:sz="0" w:space="0" w:color="auto"/>
        <w:right w:val="none" w:sz="0" w:space="0" w:color="auto"/>
      </w:divBdr>
      <w:divsChild>
        <w:div w:id="1601446468">
          <w:marLeft w:val="0"/>
          <w:marRight w:val="0"/>
          <w:marTop w:val="0"/>
          <w:marBottom w:val="0"/>
          <w:divBdr>
            <w:top w:val="none" w:sz="0" w:space="0" w:color="auto"/>
            <w:left w:val="none" w:sz="0" w:space="0" w:color="auto"/>
            <w:bottom w:val="none" w:sz="0" w:space="0" w:color="auto"/>
            <w:right w:val="none" w:sz="0" w:space="0" w:color="auto"/>
          </w:divBdr>
          <w:divsChild>
            <w:div w:id="1002004372">
              <w:marLeft w:val="0"/>
              <w:marRight w:val="0"/>
              <w:marTop w:val="0"/>
              <w:marBottom w:val="0"/>
              <w:divBdr>
                <w:top w:val="none" w:sz="0" w:space="0" w:color="auto"/>
                <w:left w:val="none" w:sz="0" w:space="0" w:color="auto"/>
                <w:bottom w:val="none" w:sz="0" w:space="0" w:color="auto"/>
                <w:right w:val="none" w:sz="0" w:space="0" w:color="auto"/>
              </w:divBdr>
              <w:divsChild>
                <w:div w:id="111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29271">
      <w:bodyDiv w:val="1"/>
      <w:marLeft w:val="0"/>
      <w:marRight w:val="0"/>
      <w:marTop w:val="0"/>
      <w:marBottom w:val="0"/>
      <w:divBdr>
        <w:top w:val="none" w:sz="0" w:space="0" w:color="auto"/>
        <w:left w:val="none" w:sz="0" w:space="0" w:color="auto"/>
        <w:bottom w:val="none" w:sz="0" w:space="0" w:color="auto"/>
        <w:right w:val="none" w:sz="0" w:space="0" w:color="auto"/>
      </w:divBdr>
      <w:divsChild>
        <w:div w:id="736588095">
          <w:marLeft w:val="0"/>
          <w:marRight w:val="0"/>
          <w:marTop w:val="0"/>
          <w:marBottom w:val="0"/>
          <w:divBdr>
            <w:top w:val="none" w:sz="0" w:space="0" w:color="auto"/>
            <w:left w:val="none" w:sz="0" w:space="0" w:color="auto"/>
            <w:bottom w:val="none" w:sz="0" w:space="0" w:color="auto"/>
            <w:right w:val="none" w:sz="0" w:space="0" w:color="auto"/>
          </w:divBdr>
          <w:divsChild>
            <w:div w:id="896667009">
              <w:marLeft w:val="0"/>
              <w:marRight w:val="0"/>
              <w:marTop w:val="0"/>
              <w:marBottom w:val="0"/>
              <w:divBdr>
                <w:top w:val="none" w:sz="0" w:space="0" w:color="auto"/>
                <w:left w:val="none" w:sz="0" w:space="0" w:color="auto"/>
                <w:bottom w:val="none" w:sz="0" w:space="0" w:color="auto"/>
                <w:right w:val="none" w:sz="0" w:space="0" w:color="auto"/>
              </w:divBdr>
              <w:divsChild>
                <w:div w:id="14806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47293">
      <w:bodyDiv w:val="1"/>
      <w:marLeft w:val="0"/>
      <w:marRight w:val="0"/>
      <w:marTop w:val="0"/>
      <w:marBottom w:val="0"/>
      <w:divBdr>
        <w:top w:val="none" w:sz="0" w:space="0" w:color="auto"/>
        <w:left w:val="none" w:sz="0" w:space="0" w:color="auto"/>
        <w:bottom w:val="none" w:sz="0" w:space="0" w:color="auto"/>
        <w:right w:val="none" w:sz="0" w:space="0" w:color="auto"/>
      </w:divBdr>
      <w:divsChild>
        <w:div w:id="1651444665">
          <w:marLeft w:val="0"/>
          <w:marRight w:val="0"/>
          <w:marTop w:val="0"/>
          <w:marBottom w:val="0"/>
          <w:divBdr>
            <w:top w:val="none" w:sz="0" w:space="0" w:color="auto"/>
            <w:left w:val="none" w:sz="0" w:space="0" w:color="auto"/>
            <w:bottom w:val="none" w:sz="0" w:space="0" w:color="auto"/>
            <w:right w:val="none" w:sz="0" w:space="0" w:color="auto"/>
          </w:divBdr>
          <w:divsChild>
            <w:div w:id="2069916428">
              <w:marLeft w:val="0"/>
              <w:marRight w:val="0"/>
              <w:marTop w:val="0"/>
              <w:marBottom w:val="0"/>
              <w:divBdr>
                <w:top w:val="none" w:sz="0" w:space="0" w:color="auto"/>
                <w:left w:val="none" w:sz="0" w:space="0" w:color="auto"/>
                <w:bottom w:val="none" w:sz="0" w:space="0" w:color="auto"/>
                <w:right w:val="none" w:sz="0" w:space="0" w:color="auto"/>
              </w:divBdr>
              <w:divsChild>
                <w:div w:id="414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6193">
      <w:bodyDiv w:val="1"/>
      <w:marLeft w:val="0"/>
      <w:marRight w:val="0"/>
      <w:marTop w:val="0"/>
      <w:marBottom w:val="0"/>
      <w:divBdr>
        <w:top w:val="none" w:sz="0" w:space="0" w:color="auto"/>
        <w:left w:val="none" w:sz="0" w:space="0" w:color="auto"/>
        <w:bottom w:val="none" w:sz="0" w:space="0" w:color="auto"/>
        <w:right w:val="none" w:sz="0" w:space="0" w:color="auto"/>
      </w:divBdr>
      <w:divsChild>
        <w:div w:id="316881899">
          <w:marLeft w:val="0"/>
          <w:marRight w:val="0"/>
          <w:marTop w:val="0"/>
          <w:marBottom w:val="0"/>
          <w:divBdr>
            <w:top w:val="none" w:sz="0" w:space="0" w:color="auto"/>
            <w:left w:val="none" w:sz="0" w:space="0" w:color="auto"/>
            <w:bottom w:val="none" w:sz="0" w:space="0" w:color="auto"/>
            <w:right w:val="none" w:sz="0" w:space="0" w:color="auto"/>
          </w:divBdr>
          <w:divsChild>
            <w:div w:id="238952507">
              <w:marLeft w:val="0"/>
              <w:marRight w:val="0"/>
              <w:marTop w:val="0"/>
              <w:marBottom w:val="0"/>
              <w:divBdr>
                <w:top w:val="none" w:sz="0" w:space="0" w:color="auto"/>
                <w:left w:val="none" w:sz="0" w:space="0" w:color="auto"/>
                <w:bottom w:val="none" w:sz="0" w:space="0" w:color="auto"/>
                <w:right w:val="none" w:sz="0" w:space="0" w:color="auto"/>
              </w:divBdr>
              <w:divsChild>
                <w:div w:id="1892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4792">
      <w:bodyDiv w:val="1"/>
      <w:marLeft w:val="0"/>
      <w:marRight w:val="0"/>
      <w:marTop w:val="0"/>
      <w:marBottom w:val="0"/>
      <w:divBdr>
        <w:top w:val="none" w:sz="0" w:space="0" w:color="auto"/>
        <w:left w:val="none" w:sz="0" w:space="0" w:color="auto"/>
        <w:bottom w:val="none" w:sz="0" w:space="0" w:color="auto"/>
        <w:right w:val="none" w:sz="0" w:space="0" w:color="auto"/>
      </w:divBdr>
    </w:div>
    <w:div w:id="1014769453">
      <w:bodyDiv w:val="1"/>
      <w:marLeft w:val="0"/>
      <w:marRight w:val="0"/>
      <w:marTop w:val="0"/>
      <w:marBottom w:val="0"/>
      <w:divBdr>
        <w:top w:val="none" w:sz="0" w:space="0" w:color="auto"/>
        <w:left w:val="none" w:sz="0" w:space="0" w:color="auto"/>
        <w:bottom w:val="none" w:sz="0" w:space="0" w:color="auto"/>
        <w:right w:val="none" w:sz="0" w:space="0" w:color="auto"/>
      </w:divBdr>
      <w:divsChild>
        <w:div w:id="660960506">
          <w:marLeft w:val="0"/>
          <w:marRight w:val="0"/>
          <w:marTop w:val="0"/>
          <w:marBottom w:val="0"/>
          <w:divBdr>
            <w:top w:val="none" w:sz="0" w:space="0" w:color="auto"/>
            <w:left w:val="none" w:sz="0" w:space="0" w:color="auto"/>
            <w:bottom w:val="none" w:sz="0" w:space="0" w:color="auto"/>
            <w:right w:val="none" w:sz="0" w:space="0" w:color="auto"/>
          </w:divBdr>
          <w:divsChild>
            <w:div w:id="1813595869">
              <w:marLeft w:val="0"/>
              <w:marRight w:val="0"/>
              <w:marTop w:val="0"/>
              <w:marBottom w:val="0"/>
              <w:divBdr>
                <w:top w:val="none" w:sz="0" w:space="0" w:color="auto"/>
                <w:left w:val="none" w:sz="0" w:space="0" w:color="auto"/>
                <w:bottom w:val="none" w:sz="0" w:space="0" w:color="auto"/>
                <w:right w:val="none" w:sz="0" w:space="0" w:color="auto"/>
              </w:divBdr>
              <w:divsChild>
                <w:div w:id="1443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928150">
      <w:bodyDiv w:val="1"/>
      <w:marLeft w:val="0"/>
      <w:marRight w:val="0"/>
      <w:marTop w:val="0"/>
      <w:marBottom w:val="0"/>
      <w:divBdr>
        <w:top w:val="none" w:sz="0" w:space="0" w:color="auto"/>
        <w:left w:val="none" w:sz="0" w:space="0" w:color="auto"/>
        <w:bottom w:val="none" w:sz="0" w:space="0" w:color="auto"/>
        <w:right w:val="none" w:sz="0" w:space="0" w:color="auto"/>
      </w:divBdr>
      <w:divsChild>
        <w:div w:id="702632711">
          <w:marLeft w:val="0"/>
          <w:marRight w:val="0"/>
          <w:marTop w:val="0"/>
          <w:marBottom w:val="0"/>
          <w:divBdr>
            <w:top w:val="none" w:sz="0" w:space="0" w:color="auto"/>
            <w:left w:val="none" w:sz="0" w:space="0" w:color="auto"/>
            <w:bottom w:val="none" w:sz="0" w:space="0" w:color="auto"/>
            <w:right w:val="none" w:sz="0" w:space="0" w:color="auto"/>
          </w:divBdr>
          <w:divsChild>
            <w:div w:id="159467783">
              <w:marLeft w:val="0"/>
              <w:marRight w:val="0"/>
              <w:marTop w:val="0"/>
              <w:marBottom w:val="0"/>
              <w:divBdr>
                <w:top w:val="none" w:sz="0" w:space="0" w:color="auto"/>
                <w:left w:val="none" w:sz="0" w:space="0" w:color="auto"/>
                <w:bottom w:val="none" w:sz="0" w:space="0" w:color="auto"/>
                <w:right w:val="none" w:sz="0" w:space="0" w:color="auto"/>
              </w:divBdr>
              <w:divsChild>
                <w:div w:id="187249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38832">
      <w:bodyDiv w:val="1"/>
      <w:marLeft w:val="0"/>
      <w:marRight w:val="0"/>
      <w:marTop w:val="0"/>
      <w:marBottom w:val="0"/>
      <w:divBdr>
        <w:top w:val="none" w:sz="0" w:space="0" w:color="auto"/>
        <w:left w:val="none" w:sz="0" w:space="0" w:color="auto"/>
        <w:bottom w:val="none" w:sz="0" w:space="0" w:color="auto"/>
        <w:right w:val="none" w:sz="0" w:space="0" w:color="auto"/>
      </w:divBdr>
      <w:divsChild>
        <w:div w:id="1730616568">
          <w:marLeft w:val="0"/>
          <w:marRight w:val="0"/>
          <w:marTop w:val="0"/>
          <w:marBottom w:val="0"/>
          <w:divBdr>
            <w:top w:val="none" w:sz="0" w:space="0" w:color="auto"/>
            <w:left w:val="none" w:sz="0" w:space="0" w:color="auto"/>
            <w:bottom w:val="none" w:sz="0" w:space="0" w:color="auto"/>
            <w:right w:val="none" w:sz="0" w:space="0" w:color="auto"/>
          </w:divBdr>
          <w:divsChild>
            <w:div w:id="1917667512">
              <w:marLeft w:val="0"/>
              <w:marRight w:val="0"/>
              <w:marTop w:val="0"/>
              <w:marBottom w:val="0"/>
              <w:divBdr>
                <w:top w:val="none" w:sz="0" w:space="0" w:color="auto"/>
                <w:left w:val="none" w:sz="0" w:space="0" w:color="auto"/>
                <w:bottom w:val="none" w:sz="0" w:space="0" w:color="auto"/>
                <w:right w:val="none" w:sz="0" w:space="0" w:color="auto"/>
              </w:divBdr>
              <w:divsChild>
                <w:div w:id="14068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78420">
      <w:bodyDiv w:val="1"/>
      <w:marLeft w:val="0"/>
      <w:marRight w:val="0"/>
      <w:marTop w:val="0"/>
      <w:marBottom w:val="0"/>
      <w:divBdr>
        <w:top w:val="none" w:sz="0" w:space="0" w:color="auto"/>
        <w:left w:val="none" w:sz="0" w:space="0" w:color="auto"/>
        <w:bottom w:val="none" w:sz="0" w:space="0" w:color="auto"/>
        <w:right w:val="none" w:sz="0" w:space="0" w:color="auto"/>
      </w:divBdr>
      <w:divsChild>
        <w:div w:id="1121919144">
          <w:marLeft w:val="0"/>
          <w:marRight w:val="0"/>
          <w:marTop w:val="0"/>
          <w:marBottom w:val="0"/>
          <w:divBdr>
            <w:top w:val="none" w:sz="0" w:space="0" w:color="auto"/>
            <w:left w:val="none" w:sz="0" w:space="0" w:color="auto"/>
            <w:bottom w:val="none" w:sz="0" w:space="0" w:color="auto"/>
            <w:right w:val="none" w:sz="0" w:space="0" w:color="auto"/>
          </w:divBdr>
          <w:divsChild>
            <w:div w:id="1398015248">
              <w:marLeft w:val="0"/>
              <w:marRight w:val="0"/>
              <w:marTop w:val="0"/>
              <w:marBottom w:val="0"/>
              <w:divBdr>
                <w:top w:val="none" w:sz="0" w:space="0" w:color="auto"/>
                <w:left w:val="none" w:sz="0" w:space="0" w:color="auto"/>
                <w:bottom w:val="none" w:sz="0" w:space="0" w:color="auto"/>
                <w:right w:val="none" w:sz="0" w:space="0" w:color="auto"/>
              </w:divBdr>
              <w:divsChild>
                <w:div w:id="3090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06763">
      <w:bodyDiv w:val="1"/>
      <w:marLeft w:val="0"/>
      <w:marRight w:val="0"/>
      <w:marTop w:val="0"/>
      <w:marBottom w:val="0"/>
      <w:divBdr>
        <w:top w:val="none" w:sz="0" w:space="0" w:color="auto"/>
        <w:left w:val="none" w:sz="0" w:space="0" w:color="auto"/>
        <w:bottom w:val="none" w:sz="0" w:space="0" w:color="auto"/>
        <w:right w:val="none" w:sz="0" w:space="0" w:color="auto"/>
      </w:divBdr>
      <w:divsChild>
        <w:div w:id="790704251">
          <w:marLeft w:val="0"/>
          <w:marRight w:val="0"/>
          <w:marTop w:val="0"/>
          <w:marBottom w:val="0"/>
          <w:divBdr>
            <w:top w:val="none" w:sz="0" w:space="0" w:color="auto"/>
            <w:left w:val="none" w:sz="0" w:space="0" w:color="auto"/>
            <w:bottom w:val="none" w:sz="0" w:space="0" w:color="auto"/>
            <w:right w:val="none" w:sz="0" w:space="0" w:color="auto"/>
          </w:divBdr>
          <w:divsChild>
            <w:div w:id="645860327">
              <w:marLeft w:val="0"/>
              <w:marRight w:val="0"/>
              <w:marTop w:val="0"/>
              <w:marBottom w:val="0"/>
              <w:divBdr>
                <w:top w:val="none" w:sz="0" w:space="0" w:color="auto"/>
                <w:left w:val="none" w:sz="0" w:space="0" w:color="auto"/>
                <w:bottom w:val="none" w:sz="0" w:space="0" w:color="auto"/>
                <w:right w:val="none" w:sz="0" w:space="0" w:color="auto"/>
              </w:divBdr>
              <w:divsChild>
                <w:div w:id="6936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vanced.jhu.edu/about-us/student-snapsho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9</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Varone</dc:creator>
  <cp:keywords/>
  <dc:description/>
  <cp:lastModifiedBy>Talia Varone</cp:lastModifiedBy>
  <cp:revision>27</cp:revision>
  <dcterms:created xsi:type="dcterms:W3CDTF">2019-10-28T14:45:00Z</dcterms:created>
  <dcterms:modified xsi:type="dcterms:W3CDTF">2019-10-30T02:17:00Z</dcterms:modified>
</cp:coreProperties>
</file>